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82EFF">
      <w:pPr>
        <w:ind w:left="709" w:hanging="709"/>
        <w:rPr>
          <w:b/>
          <w:bCs/>
          <w:sz w:val="28"/>
        </w:rPr>
      </w:pPr>
      <w:r>
        <w:rPr>
          <w:b/>
          <w:bCs/>
          <w:sz w:val="28"/>
        </w:rPr>
        <w:t>Title:</w:t>
      </w:r>
      <w:r>
        <w:rPr>
          <w:b/>
          <w:bCs/>
          <w:sz w:val="28"/>
        </w:rPr>
        <w:tab/>
      </w:r>
      <w:r>
        <w:rPr>
          <w:b/>
          <w:bCs/>
          <w:sz w:val="28"/>
        </w:rPr>
        <w:t>MOVING AND HANDLING</w:t>
      </w:r>
    </w:p>
    <w:p w14:paraId="248FD29E">
      <w:pPr>
        <w:rPr>
          <w:b/>
          <w:bCs/>
          <w:sz w:val="24"/>
          <w:szCs w:val="24"/>
        </w:rPr>
      </w:pPr>
    </w:p>
    <w:p w14:paraId="3C8FBEA8">
      <w:pPr>
        <w:ind w:left="720" w:hanging="720"/>
        <w:rPr>
          <w:sz w:val="24"/>
        </w:rPr>
      </w:pPr>
      <w:r>
        <w:rPr>
          <w:b/>
          <w:bCs/>
          <w:sz w:val="24"/>
        </w:rPr>
        <w:t>1.0</w:t>
      </w:r>
      <w:r>
        <w:rPr>
          <w:b/>
          <w:bCs/>
          <w:sz w:val="24"/>
        </w:rPr>
        <w:tab/>
      </w:r>
      <w:r>
        <w:rPr>
          <w:b/>
          <w:bCs/>
          <w:sz w:val="24"/>
        </w:rPr>
        <w:t>INTRODUCTION</w:t>
      </w:r>
    </w:p>
    <w:p w14:paraId="719202E7">
      <w:pPr>
        <w:ind w:left="720" w:hanging="720"/>
        <w:rPr>
          <w:sz w:val="24"/>
        </w:rPr>
      </w:pPr>
    </w:p>
    <w:p w14:paraId="098649E3">
      <w:pPr>
        <w:pStyle w:val="8"/>
        <w:numPr>
          <w:ilvl w:val="1"/>
          <w:numId w:val="1"/>
        </w:numPr>
      </w:pPr>
      <w:r>
        <w:t>All staff employed in our Service must work within the legislation covered in the Manual Handling Operation Regulations 1992, as amended by the Health and Safety (Miscellaneous Amendments) Regulations 2002, and the Health and Safety at Work etc Act 1974. The following sets out the Service’s Moving and Handling Policy.</w:t>
      </w:r>
    </w:p>
    <w:p w14:paraId="45A6AA75">
      <w:pPr>
        <w:pStyle w:val="8"/>
      </w:pPr>
    </w:p>
    <w:p w14:paraId="32AC9807">
      <w:pPr>
        <w:pStyle w:val="8"/>
        <w:ind w:left="705" w:hanging="705"/>
      </w:pPr>
      <w:r>
        <w:t>1.2</w:t>
      </w:r>
      <w:r>
        <w:tab/>
      </w:r>
      <w:r>
        <w:t xml:space="preserve">Moving and handling refers to the procedures undertaken in order to move an individual, or an object, from one position, or place, to another.  Moving and handling is the preferred term as manual handling, the movement of people or objects without equipment, is no longer the default position.  </w:t>
      </w:r>
    </w:p>
    <w:p w14:paraId="7FCD4794">
      <w:pPr>
        <w:ind w:left="720" w:hanging="720"/>
        <w:rPr>
          <w:sz w:val="24"/>
        </w:rPr>
      </w:pPr>
    </w:p>
    <w:p w14:paraId="013FE8DD">
      <w:pPr>
        <w:pStyle w:val="3"/>
        <w:ind w:left="720" w:hanging="720"/>
      </w:pPr>
      <w:r>
        <w:t>2.0</w:t>
      </w:r>
      <w:r>
        <w:tab/>
      </w:r>
      <w:r>
        <w:t>POLICY</w:t>
      </w:r>
    </w:p>
    <w:p w14:paraId="0BD50F93">
      <w:pPr>
        <w:ind w:left="720" w:hanging="720"/>
        <w:rPr>
          <w:sz w:val="24"/>
        </w:rPr>
      </w:pPr>
    </w:p>
    <w:p w14:paraId="07C3311B">
      <w:pPr>
        <w:ind w:left="720" w:hanging="720"/>
        <w:rPr>
          <w:sz w:val="24"/>
        </w:rPr>
      </w:pPr>
      <w:r>
        <w:rPr>
          <w:sz w:val="24"/>
        </w:rPr>
        <w:t>2.1</w:t>
      </w:r>
      <w:r>
        <w:rPr>
          <w:sz w:val="24"/>
        </w:rPr>
        <w:tab/>
      </w:r>
      <w:r>
        <w:rPr>
          <w:sz w:val="24"/>
        </w:rPr>
        <w:t xml:space="preserve">This policy applies to all moving and handling activities performed by staff in the Service. All staff are required to work within the relevant legislative framework and within the guidance contained in individual Service User risk assessments and care and support plans.   </w:t>
      </w:r>
    </w:p>
    <w:p w14:paraId="0C7EF263">
      <w:pPr>
        <w:ind w:left="720" w:hanging="720"/>
        <w:rPr>
          <w:sz w:val="24"/>
        </w:rPr>
      </w:pPr>
    </w:p>
    <w:p w14:paraId="21827F73">
      <w:pPr>
        <w:ind w:left="720" w:hanging="720"/>
        <w:rPr>
          <w:sz w:val="24"/>
        </w:rPr>
      </w:pPr>
      <w:r>
        <w:rPr>
          <w:sz w:val="24"/>
        </w:rPr>
        <w:t>2.2</w:t>
      </w:r>
      <w:r>
        <w:rPr>
          <w:sz w:val="24"/>
        </w:rPr>
        <w:tab/>
      </w:r>
      <w:r>
        <w:rPr>
          <w:sz w:val="24"/>
        </w:rPr>
        <w:t xml:space="preserve">While protecting the physical wellbeing of Service Users and staff, this policy does not seek to unnecessarily restrict the rights, privacy, dignity or freedoms of Service Users. </w:t>
      </w:r>
    </w:p>
    <w:p w14:paraId="66156F96">
      <w:pPr>
        <w:ind w:left="720" w:hanging="720"/>
        <w:rPr>
          <w:sz w:val="24"/>
        </w:rPr>
      </w:pPr>
    </w:p>
    <w:p w14:paraId="583CB5C6">
      <w:pPr>
        <w:ind w:left="720" w:hanging="720"/>
        <w:rPr>
          <w:b/>
          <w:bCs/>
          <w:sz w:val="24"/>
        </w:rPr>
      </w:pPr>
      <w:r>
        <w:rPr>
          <w:b/>
          <w:bCs/>
          <w:sz w:val="24"/>
        </w:rPr>
        <w:t>3.0</w:t>
      </w:r>
      <w:r>
        <w:rPr>
          <w:b/>
          <w:bCs/>
          <w:sz w:val="24"/>
        </w:rPr>
        <w:tab/>
      </w:r>
      <w:r>
        <w:rPr>
          <w:b/>
          <w:bCs/>
          <w:sz w:val="24"/>
        </w:rPr>
        <w:t>THE POLICY IN PRACTICE</w:t>
      </w:r>
    </w:p>
    <w:p w14:paraId="76F8BFE6">
      <w:pPr>
        <w:ind w:left="720" w:hanging="720"/>
        <w:rPr>
          <w:b/>
          <w:bCs/>
          <w:sz w:val="24"/>
        </w:rPr>
      </w:pPr>
    </w:p>
    <w:p w14:paraId="78CF0CFA">
      <w:pPr>
        <w:ind w:left="720" w:hanging="720"/>
        <w:rPr>
          <w:sz w:val="24"/>
        </w:rPr>
      </w:pPr>
      <w:r>
        <w:rPr>
          <w:sz w:val="24"/>
        </w:rPr>
        <w:t>3.1</w:t>
      </w:r>
      <w:r>
        <w:rPr>
          <w:sz w:val="24"/>
        </w:rPr>
        <w:tab/>
      </w:r>
      <w:r>
        <w:rPr>
          <w:sz w:val="24"/>
        </w:rPr>
        <w:t>Our aim is to eliminate, as far as practicable, the manual handling and lifting of Service Users and objects, i.e., without mechanical assistance, except in life threatening situations.</w:t>
      </w:r>
    </w:p>
    <w:p w14:paraId="6AD42A5F">
      <w:pPr>
        <w:ind w:left="720" w:hanging="720"/>
        <w:rPr>
          <w:sz w:val="24"/>
        </w:rPr>
      </w:pPr>
    </w:p>
    <w:p w14:paraId="3A31C982">
      <w:pPr>
        <w:ind w:left="720" w:hanging="720"/>
        <w:rPr>
          <w:sz w:val="24"/>
        </w:rPr>
      </w:pPr>
      <w:r>
        <w:rPr>
          <w:sz w:val="24"/>
        </w:rPr>
        <w:t>3.2</w:t>
      </w:r>
      <w:r>
        <w:rPr>
          <w:sz w:val="24"/>
        </w:rPr>
        <w:tab/>
      </w:r>
      <w:r>
        <w:rPr>
          <w:sz w:val="24"/>
        </w:rPr>
        <w:t>Service Users will be encouraged and facilitated to assist in their own transfers and will be made aware of the organisations procedures and policies with regard to transfers and lifting.</w:t>
      </w:r>
    </w:p>
    <w:p w14:paraId="43073E27">
      <w:pPr>
        <w:ind w:left="720" w:hanging="720"/>
        <w:rPr>
          <w:sz w:val="24"/>
        </w:rPr>
      </w:pPr>
    </w:p>
    <w:p w14:paraId="72E77454">
      <w:pPr>
        <w:ind w:left="720" w:hanging="720"/>
        <w:rPr>
          <w:sz w:val="24"/>
        </w:rPr>
      </w:pPr>
      <w:r>
        <w:rPr>
          <w:sz w:val="24"/>
        </w:rPr>
        <w:t>3.3</w:t>
      </w:r>
      <w:r>
        <w:rPr>
          <w:sz w:val="24"/>
        </w:rPr>
        <w:tab/>
      </w:r>
      <w:r>
        <w:rPr>
          <w:sz w:val="24"/>
        </w:rPr>
        <w:t xml:space="preserve">Service Users and / or their legal representative(s) and, where necessary, other healthcare professionals, e.g. occupational or physio therapists, will be involved in an individual’s risk assessment and care and support planning for moving and handling. </w:t>
      </w:r>
    </w:p>
    <w:p w14:paraId="2DC9A5AE">
      <w:pPr>
        <w:ind w:left="720" w:hanging="720"/>
        <w:rPr>
          <w:sz w:val="24"/>
        </w:rPr>
      </w:pPr>
    </w:p>
    <w:p w14:paraId="230C4F47">
      <w:pPr>
        <w:ind w:left="720" w:hanging="720"/>
        <w:rPr>
          <w:sz w:val="24"/>
        </w:rPr>
      </w:pPr>
      <w:r>
        <w:rPr>
          <w:sz w:val="24"/>
        </w:rPr>
        <w:t>3.4</w:t>
      </w:r>
      <w:r>
        <w:rPr>
          <w:sz w:val="24"/>
        </w:rPr>
        <w:tab/>
      </w:r>
      <w:r>
        <w:rPr>
          <w:sz w:val="24"/>
        </w:rPr>
        <w:t>Electronically operated beds, lifting aids, e.g. hoists and slings, and other handling equipment, e.g. slide sheets, should be used whenever they can help to reduce the risks to Service Users and staff.</w:t>
      </w:r>
    </w:p>
    <w:p w14:paraId="585110DA">
      <w:pPr>
        <w:ind w:left="720" w:hanging="720"/>
        <w:rPr>
          <w:sz w:val="24"/>
        </w:rPr>
      </w:pPr>
    </w:p>
    <w:p w14:paraId="2A4A2279">
      <w:pPr>
        <w:ind w:left="720" w:hanging="720"/>
        <w:rPr>
          <w:sz w:val="24"/>
        </w:rPr>
      </w:pPr>
      <w:r>
        <w:rPr>
          <w:sz w:val="24"/>
        </w:rPr>
        <w:t>3.5</w:t>
      </w:r>
      <w:r>
        <w:rPr>
          <w:sz w:val="24"/>
        </w:rPr>
        <w:tab/>
      </w:r>
      <w:r>
        <w:rPr>
          <w:sz w:val="24"/>
        </w:rPr>
        <w:t>The Service Users Person-Centred Care Plan should contain details of the handling and lifting equipment to be used by staff when moving or handling a Service User.</w:t>
      </w:r>
    </w:p>
    <w:p w14:paraId="2227B649">
      <w:pPr>
        <w:ind w:left="720" w:hanging="720"/>
        <w:rPr>
          <w:sz w:val="24"/>
        </w:rPr>
      </w:pPr>
    </w:p>
    <w:p w14:paraId="4055EC30">
      <w:pPr>
        <w:ind w:left="720" w:hanging="720"/>
        <w:rPr>
          <w:sz w:val="24"/>
        </w:rPr>
      </w:pPr>
      <w:r>
        <w:rPr>
          <w:sz w:val="24"/>
        </w:rPr>
        <w:t>3.6</w:t>
      </w:r>
      <w:r>
        <w:rPr>
          <w:sz w:val="24"/>
        </w:rPr>
        <w:tab/>
      </w:r>
      <w:r>
        <w:rPr>
          <w:sz w:val="24"/>
        </w:rPr>
        <w:t>Where necessary staff will use visual aids and other forms of communication to ensure Service Users living with communication needs, learning disability and / or autism are made aware as to why mechanical lifting aids are used.</w:t>
      </w:r>
    </w:p>
    <w:p w14:paraId="1F46F8F7">
      <w:pPr>
        <w:ind w:left="720" w:hanging="720"/>
        <w:rPr>
          <w:sz w:val="24"/>
        </w:rPr>
      </w:pPr>
    </w:p>
    <w:p w14:paraId="59839166">
      <w:pPr>
        <w:ind w:left="720" w:hanging="720"/>
        <w:rPr>
          <w:sz w:val="24"/>
        </w:rPr>
      </w:pPr>
      <w:r>
        <w:rPr>
          <w:sz w:val="24"/>
        </w:rPr>
        <w:t xml:space="preserve">3.7 </w:t>
      </w:r>
      <w:r>
        <w:rPr>
          <w:sz w:val="24"/>
        </w:rPr>
        <w:tab/>
      </w:r>
      <w:r>
        <w:rPr>
          <w:sz w:val="24"/>
        </w:rPr>
        <w:t>As with all procedures, the consent of the individual to moving and handling should be sought or when they lack capacity, that of their legal representative(s) or a multidisciplinary best interests’ decision should be made.</w:t>
      </w:r>
    </w:p>
    <w:p w14:paraId="3892B4D4">
      <w:pPr>
        <w:ind w:left="720" w:hanging="720"/>
        <w:rPr>
          <w:sz w:val="24"/>
        </w:rPr>
      </w:pPr>
    </w:p>
    <w:p w14:paraId="1C58465C">
      <w:pPr>
        <w:ind w:left="720" w:hanging="720"/>
        <w:rPr>
          <w:sz w:val="24"/>
        </w:rPr>
      </w:pPr>
      <w:r>
        <w:rPr>
          <w:sz w:val="24"/>
        </w:rPr>
        <w:t>3.8</w:t>
      </w:r>
      <w:r>
        <w:rPr>
          <w:sz w:val="24"/>
        </w:rPr>
        <w:tab/>
      </w:r>
      <w:r>
        <w:rPr>
          <w:sz w:val="24"/>
        </w:rPr>
        <w:t xml:space="preserve">Staff should consider issues relating to infection control when moving and handling people, this may mean the use of personal protective equipment and ensuring slings etc, are only used by one Service User. </w:t>
      </w:r>
    </w:p>
    <w:p w14:paraId="4570F04C">
      <w:pPr>
        <w:ind w:left="720" w:hanging="720"/>
        <w:rPr>
          <w:b/>
          <w:bCs/>
          <w:sz w:val="24"/>
        </w:rPr>
      </w:pPr>
    </w:p>
    <w:p w14:paraId="34F421E5">
      <w:pPr>
        <w:ind w:left="720" w:hanging="720"/>
        <w:rPr>
          <w:b/>
          <w:bCs/>
          <w:sz w:val="24"/>
        </w:rPr>
      </w:pPr>
      <w:r>
        <w:rPr>
          <w:b/>
          <w:bCs/>
          <w:sz w:val="24"/>
        </w:rPr>
        <w:t>4.0</w:t>
      </w:r>
      <w:r>
        <w:rPr>
          <w:b/>
          <w:bCs/>
          <w:sz w:val="24"/>
        </w:rPr>
        <w:tab/>
      </w:r>
      <w:r>
        <w:rPr>
          <w:b/>
          <w:bCs/>
          <w:sz w:val="24"/>
        </w:rPr>
        <w:t xml:space="preserve">ASSESSMENT </w:t>
      </w:r>
    </w:p>
    <w:p w14:paraId="5D67363D">
      <w:pPr>
        <w:ind w:left="720" w:hanging="720"/>
        <w:rPr>
          <w:b/>
          <w:bCs/>
          <w:sz w:val="24"/>
        </w:rPr>
      </w:pPr>
    </w:p>
    <w:p w14:paraId="4C924D44">
      <w:pPr>
        <w:ind w:left="720" w:hanging="720"/>
        <w:rPr>
          <w:sz w:val="24"/>
        </w:rPr>
      </w:pPr>
      <w:r>
        <w:rPr>
          <w:sz w:val="24"/>
        </w:rPr>
        <w:t>4.1</w:t>
      </w:r>
      <w:r>
        <w:rPr>
          <w:sz w:val="24"/>
        </w:rPr>
        <w:tab/>
      </w:r>
      <w:r>
        <w:rPr>
          <w:sz w:val="24"/>
        </w:rPr>
        <w:t xml:space="preserve">All moving and handling undertaken by staff of the Service will be subject to a risk assessment.  This includes moving and handling of people as well as of objects. </w:t>
      </w:r>
    </w:p>
    <w:p w14:paraId="488B07B8">
      <w:pPr>
        <w:ind w:left="720" w:hanging="720"/>
        <w:rPr>
          <w:sz w:val="24"/>
        </w:rPr>
      </w:pPr>
    </w:p>
    <w:p w14:paraId="4FF8060F">
      <w:pPr>
        <w:ind w:left="720" w:hanging="720"/>
        <w:rPr>
          <w:sz w:val="24"/>
        </w:rPr>
      </w:pPr>
      <w:r>
        <w:rPr>
          <w:sz w:val="24"/>
        </w:rPr>
        <w:t>4.2</w:t>
      </w:r>
      <w:r>
        <w:rPr>
          <w:sz w:val="24"/>
        </w:rPr>
        <w:tab/>
      </w:r>
      <w:r>
        <w:rPr>
          <w:sz w:val="24"/>
        </w:rPr>
        <w:t>In addition to the risk assessment, all moving and handling involving Service Users will be subject to a care and support plan assessment and planning undertaken by a staff member who is competent to do so.  This includes, but is not limited to, such activities as:</w:t>
      </w:r>
    </w:p>
    <w:p w14:paraId="0EE9B0BF">
      <w:pPr>
        <w:numPr>
          <w:ilvl w:val="0"/>
          <w:numId w:val="2"/>
        </w:numPr>
        <w:rPr>
          <w:sz w:val="24"/>
        </w:rPr>
      </w:pPr>
      <w:r>
        <w:rPr>
          <w:sz w:val="24"/>
        </w:rPr>
        <w:t>Transferring from sitting to standing, standing to sitting, lying to sitting etc.</w:t>
      </w:r>
    </w:p>
    <w:p w14:paraId="448CE55E">
      <w:pPr>
        <w:numPr>
          <w:ilvl w:val="0"/>
          <w:numId w:val="2"/>
        </w:numPr>
        <w:rPr>
          <w:sz w:val="24"/>
        </w:rPr>
      </w:pPr>
      <w:r>
        <w:rPr>
          <w:sz w:val="24"/>
        </w:rPr>
        <w:t xml:space="preserve">Bathing using moving and handling aids. </w:t>
      </w:r>
    </w:p>
    <w:p w14:paraId="2852168E">
      <w:pPr>
        <w:numPr>
          <w:ilvl w:val="0"/>
          <w:numId w:val="2"/>
        </w:numPr>
        <w:rPr>
          <w:sz w:val="24"/>
        </w:rPr>
      </w:pPr>
      <w:r>
        <w:rPr>
          <w:sz w:val="24"/>
        </w:rPr>
        <w:t>Toileting.</w:t>
      </w:r>
    </w:p>
    <w:p w14:paraId="79318D33">
      <w:pPr>
        <w:ind w:left="720" w:hanging="720"/>
        <w:rPr>
          <w:sz w:val="24"/>
        </w:rPr>
      </w:pPr>
    </w:p>
    <w:p w14:paraId="55F3A5FF">
      <w:pPr>
        <w:ind w:left="720" w:hanging="720"/>
        <w:rPr>
          <w:sz w:val="24"/>
        </w:rPr>
      </w:pPr>
      <w:r>
        <w:rPr>
          <w:sz w:val="24"/>
        </w:rPr>
        <w:t>4.3</w:t>
      </w:r>
      <w:r>
        <w:rPr>
          <w:sz w:val="24"/>
        </w:rPr>
        <w:tab/>
      </w:r>
      <w:r>
        <w:rPr>
          <w:sz w:val="24"/>
        </w:rPr>
        <w:t>Assessments for moving and handling of individual Service Users will include, but is not limited to:</w:t>
      </w:r>
    </w:p>
    <w:p w14:paraId="35FD5C3B">
      <w:pPr>
        <w:numPr>
          <w:ilvl w:val="0"/>
          <w:numId w:val="3"/>
        </w:numPr>
        <w:ind w:hanging="371"/>
        <w:rPr>
          <w:sz w:val="24"/>
        </w:rPr>
      </w:pPr>
      <w:r>
        <w:rPr>
          <w:sz w:val="24"/>
        </w:rPr>
        <w:t xml:space="preserve">Assessing the individual’s physical and psychological ability to assist in their own movement. </w:t>
      </w:r>
    </w:p>
    <w:p w14:paraId="42A59B94">
      <w:pPr>
        <w:numPr>
          <w:ilvl w:val="0"/>
          <w:numId w:val="3"/>
        </w:numPr>
        <w:rPr>
          <w:sz w:val="24"/>
        </w:rPr>
      </w:pPr>
      <w:r>
        <w:rPr>
          <w:sz w:val="24"/>
        </w:rPr>
        <w:t>Their history of falls.</w:t>
      </w:r>
    </w:p>
    <w:p w14:paraId="67CF075C">
      <w:pPr>
        <w:numPr>
          <w:ilvl w:val="0"/>
          <w:numId w:val="3"/>
        </w:numPr>
        <w:rPr>
          <w:sz w:val="24"/>
        </w:rPr>
      </w:pPr>
      <w:r>
        <w:rPr>
          <w:sz w:val="24"/>
        </w:rPr>
        <w:t>Identifying the best equipment for assisting in their moving and handling.</w:t>
      </w:r>
    </w:p>
    <w:p w14:paraId="2E82C3C9">
      <w:pPr>
        <w:numPr>
          <w:ilvl w:val="0"/>
          <w:numId w:val="3"/>
        </w:numPr>
        <w:rPr>
          <w:sz w:val="24"/>
        </w:rPr>
      </w:pPr>
      <w:r>
        <w:rPr>
          <w:sz w:val="24"/>
        </w:rPr>
        <w:t xml:space="preserve">Identifying the number of staff needed to ensure any moving procedure is safe for the Service User. </w:t>
      </w:r>
    </w:p>
    <w:p w14:paraId="0BB38D03">
      <w:pPr>
        <w:numPr>
          <w:ilvl w:val="0"/>
          <w:numId w:val="3"/>
        </w:numPr>
        <w:rPr>
          <w:sz w:val="24"/>
        </w:rPr>
      </w:pPr>
      <w:r>
        <w:rPr>
          <w:sz w:val="24"/>
        </w:rPr>
        <w:t xml:space="preserve">Consideration as to any skin integrity issues which may affect the Service User. </w:t>
      </w:r>
    </w:p>
    <w:p w14:paraId="165BC335">
      <w:pPr>
        <w:numPr>
          <w:ilvl w:val="0"/>
          <w:numId w:val="3"/>
        </w:numPr>
        <w:rPr>
          <w:sz w:val="24"/>
        </w:rPr>
      </w:pPr>
      <w:r>
        <w:rPr>
          <w:sz w:val="24"/>
        </w:rPr>
        <w:t xml:space="preserve">Consideration of their ability to evacuate a building in an emergency. </w:t>
      </w:r>
    </w:p>
    <w:p w14:paraId="0986C1A5">
      <w:pPr>
        <w:numPr>
          <w:ilvl w:val="0"/>
          <w:numId w:val="3"/>
        </w:numPr>
        <w:rPr>
          <w:sz w:val="24"/>
        </w:rPr>
      </w:pPr>
      <w:r>
        <w:rPr>
          <w:sz w:val="24"/>
        </w:rPr>
        <w:t xml:space="preserve">The maintenance of the Service User’s privacy and dignity during any moving and handling procedure. </w:t>
      </w:r>
    </w:p>
    <w:p w14:paraId="64084971">
      <w:pPr>
        <w:rPr>
          <w:sz w:val="24"/>
        </w:rPr>
      </w:pPr>
    </w:p>
    <w:p w14:paraId="6576AD12">
      <w:pPr>
        <w:ind w:left="720" w:hanging="720"/>
        <w:rPr>
          <w:sz w:val="24"/>
        </w:rPr>
      </w:pPr>
      <w:r>
        <w:rPr>
          <w:sz w:val="24"/>
        </w:rPr>
        <w:t>4.4</w:t>
      </w:r>
      <w:r>
        <w:rPr>
          <w:sz w:val="24"/>
        </w:rPr>
        <w:tab/>
      </w:r>
      <w:r>
        <w:rPr>
          <w:sz w:val="24"/>
        </w:rPr>
        <w:t xml:space="preserve">Assessment of the environment in which the moving and handling will take place will include, but is not limited to: </w:t>
      </w:r>
    </w:p>
    <w:p w14:paraId="36EF33E2">
      <w:pPr>
        <w:numPr>
          <w:ilvl w:val="0"/>
          <w:numId w:val="3"/>
        </w:numPr>
        <w:rPr>
          <w:sz w:val="24"/>
        </w:rPr>
      </w:pPr>
      <w:r>
        <w:rPr>
          <w:sz w:val="24"/>
        </w:rPr>
        <w:t xml:space="preserve">Access to the person, e.g. stairs. </w:t>
      </w:r>
    </w:p>
    <w:p w14:paraId="6D5AA503">
      <w:pPr>
        <w:numPr>
          <w:ilvl w:val="0"/>
          <w:numId w:val="3"/>
        </w:numPr>
        <w:rPr>
          <w:sz w:val="24"/>
        </w:rPr>
      </w:pPr>
      <w:r>
        <w:rPr>
          <w:sz w:val="24"/>
        </w:rPr>
        <w:t>Consideration of the space available, e.g. access for equipment and staff manoeuvrability.</w:t>
      </w:r>
    </w:p>
    <w:p w14:paraId="32627230">
      <w:pPr>
        <w:numPr>
          <w:ilvl w:val="0"/>
          <w:numId w:val="3"/>
        </w:numPr>
        <w:rPr>
          <w:sz w:val="24"/>
        </w:rPr>
      </w:pPr>
      <w:r>
        <w:rPr>
          <w:sz w:val="24"/>
        </w:rPr>
        <w:t xml:space="preserve">The flooring and floor covering and any associated trip or slip hazards. </w:t>
      </w:r>
    </w:p>
    <w:p w14:paraId="5221B3F1">
      <w:pPr>
        <w:numPr>
          <w:ilvl w:val="0"/>
          <w:numId w:val="3"/>
        </w:numPr>
        <w:rPr>
          <w:sz w:val="24"/>
        </w:rPr>
      </w:pPr>
      <w:r>
        <w:rPr>
          <w:sz w:val="24"/>
        </w:rPr>
        <w:t>The ability to move furniture out of the area and to adjust the height of the bed / chair etc. which may be involved in the moving and handling procedure.</w:t>
      </w:r>
    </w:p>
    <w:p w14:paraId="5A290BC2">
      <w:pPr>
        <w:numPr>
          <w:ilvl w:val="0"/>
          <w:numId w:val="3"/>
        </w:numPr>
        <w:rPr>
          <w:sz w:val="24"/>
        </w:rPr>
      </w:pPr>
      <w:r>
        <w:rPr>
          <w:sz w:val="24"/>
        </w:rPr>
        <w:t>Access to power.</w:t>
      </w:r>
    </w:p>
    <w:p w14:paraId="458B2162">
      <w:pPr>
        <w:numPr>
          <w:ilvl w:val="0"/>
          <w:numId w:val="3"/>
        </w:numPr>
        <w:rPr>
          <w:sz w:val="24"/>
        </w:rPr>
      </w:pPr>
      <w:r>
        <w:rPr>
          <w:sz w:val="24"/>
        </w:rPr>
        <w:t xml:space="preserve">Lighting and general visibility.   </w:t>
      </w:r>
    </w:p>
    <w:p w14:paraId="3C7DAAD4">
      <w:pPr>
        <w:rPr>
          <w:sz w:val="24"/>
        </w:rPr>
      </w:pPr>
    </w:p>
    <w:p w14:paraId="407C59DF">
      <w:pPr>
        <w:ind w:left="720" w:hanging="720"/>
        <w:rPr>
          <w:sz w:val="24"/>
        </w:rPr>
      </w:pPr>
      <w:r>
        <w:rPr>
          <w:sz w:val="24"/>
        </w:rPr>
        <w:t>4.5</w:t>
      </w:r>
      <w:r>
        <w:rPr>
          <w:sz w:val="24"/>
        </w:rPr>
        <w:tab/>
      </w:r>
      <w:r>
        <w:rPr>
          <w:sz w:val="24"/>
        </w:rPr>
        <w:t>Assessment of the moving and handling as it affects staff will include, but is not limited to:</w:t>
      </w:r>
    </w:p>
    <w:p w14:paraId="4829BF9F">
      <w:pPr>
        <w:numPr>
          <w:ilvl w:val="0"/>
          <w:numId w:val="4"/>
        </w:numPr>
        <w:ind w:left="1134" w:hanging="414"/>
        <w:rPr>
          <w:sz w:val="24"/>
        </w:rPr>
      </w:pPr>
      <w:r>
        <w:rPr>
          <w:sz w:val="24"/>
        </w:rPr>
        <w:t>The need to adopt and sustain awkward postures.</w:t>
      </w:r>
    </w:p>
    <w:p w14:paraId="351601D1">
      <w:pPr>
        <w:numPr>
          <w:ilvl w:val="0"/>
          <w:numId w:val="4"/>
        </w:numPr>
        <w:rPr>
          <w:sz w:val="24"/>
        </w:rPr>
      </w:pPr>
      <w:r>
        <w:rPr>
          <w:sz w:val="24"/>
        </w:rPr>
        <w:t>The need to bend or twist.</w:t>
      </w:r>
    </w:p>
    <w:p w14:paraId="24E8CD50">
      <w:pPr>
        <w:numPr>
          <w:ilvl w:val="0"/>
          <w:numId w:val="4"/>
        </w:numPr>
        <w:rPr>
          <w:sz w:val="24"/>
        </w:rPr>
      </w:pPr>
      <w:r>
        <w:rPr>
          <w:sz w:val="24"/>
        </w:rPr>
        <w:t>Access.</w:t>
      </w:r>
    </w:p>
    <w:p w14:paraId="3CD9B7E0">
      <w:pPr>
        <w:numPr>
          <w:ilvl w:val="0"/>
          <w:numId w:val="4"/>
        </w:numPr>
        <w:rPr>
          <w:sz w:val="24"/>
        </w:rPr>
      </w:pPr>
      <w:r>
        <w:rPr>
          <w:sz w:val="24"/>
        </w:rPr>
        <w:t xml:space="preserve">Availability of multiple staff members, e.g. the minimum of two to use a hoist. </w:t>
      </w:r>
    </w:p>
    <w:p w14:paraId="316579C1">
      <w:pPr>
        <w:rPr>
          <w:sz w:val="24"/>
        </w:rPr>
      </w:pPr>
    </w:p>
    <w:p w14:paraId="2538845A">
      <w:pPr>
        <w:ind w:left="720" w:hanging="720"/>
        <w:rPr>
          <w:sz w:val="24"/>
        </w:rPr>
      </w:pPr>
      <w:r>
        <w:rPr>
          <w:sz w:val="24"/>
        </w:rPr>
        <w:t>4.6</w:t>
      </w:r>
      <w:r>
        <w:rPr>
          <w:sz w:val="24"/>
        </w:rPr>
        <w:tab/>
      </w:r>
      <w:r>
        <w:rPr>
          <w:sz w:val="24"/>
        </w:rPr>
        <w:t>Assessments for the use of equipment for the moving and handling of individual Service Users will include, but is not limited to:</w:t>
      </w:r>
    </w:p>
    <w:p w14:paraId="2FFE3844">
      <w:pPr>
        <w:numPr>
          <w:ilvl w:val="0"/>
          <w:numId w:val="5"/>
        </w:numPr>
        <w:rPr>
          <w:sz w:val="24"/>
        </w:rPr>
      </w:pPr>
      <w:r>
        <w:rPr>
          <w:sz w:val="24"/>
        </w:rPr>
        <w:t>It’s availability.</w:t>
      </w:r>
    </w:p>
    <w:p w14:paraId="1C7A2CB2">
      <w:pPr>
        <w:numPr>
          <w:ilvl w:val="0"/>
          <w:numId w:val="5"/>
        </w:numPr>
        <w:ind w:left="1134" w:hanging="425"/>
        <w:rPr>
          <w:sz w:val="24"/>
        </w:rPr>
      </w:pPr>
      <w:r>
        <w:rPr>
          <w:sz w:val="24"/>
        </w:rPr>
        <w:t>It’s suitability to the task, e.g. its loading capacity.</w:t>
      </w:r>
    </w:p>
    <w:p w14:paraId="047C95FA">
      <w:pPr>
        <w:numPr>
          <w:ilvl w:val="0"/>
          <w:numId w:val="5"/>
        </w:numPr>
        <w:rPr>
          <w:sz w:val="24"/>
        </w:rPr>
      </w:pPr>
      <w:r>
        <w:rPr>
          <w:sz w:val="24"/>
        </w:rPr>
        <w:t xml:space="preserve">Availability of the correct sizes of equipment, e.g. slings. </w:t>
      </w:r>
    </w:p>
    <w:p w14:paraId="61B08AA5">
      <w:pPr>
        <w:numPr>
          <w:ilvl w:val="0"/>
          <w:numId w:val="5"/>
        </w:numPr>
        <w:rPr>
          <w:sz w:val="24"/>
        </w:rPr>
      </w:pPr>
      <w:r>
        <w:rPr>
          <w:sz w:val="24"/>
        </w:rPr>
        <w:t xml:space="preserve">The availability of electricity for recharging batteries etc. </w:t>
      </w:r>
    </w:p>
    <w:p w14:paraId="3F4D761F">
      <w:pPr>
        <w:numPr>
          <w:ilvl w:val="0"/>
          <w:numId w:val="5"/>
        </w:numPr>
        <w:rPr>
          <w:sz w:val="24"/>
        </w:rPr>
      </w:pPr>
      <w:r>
        <w:rPr>
          <w:sz w:val="24"/>
        </w:rPr>
        <w:t xml:space="preserve">Staff training and familiarity with the use of the equipment. </w:t>
      </w:r>
    </w:p>
    <w:p w14:paraId="7881B48A">
      <w:pPr>
        <w:numPr>
          <w:ilvl w:val="0"/>
          <w:numId w:val="5"/>
        </w:numPr>
        <w:rPr>
          <w:sz w:val="24"/>
        </w:rPr>
      </w:pPr>
      <w:r>
        <w:rPr>
          <w:sz w:val="24"/>
        </w:rPr>
        <w:t>The maintenance and inspection of the equipment and any associated equipment.</w:t>
      </w:r>
    </w:p>
    <w:p w14:paraId="1BA324E3">
      <w:pPr>
        <w:rPr>
          <w:sz w:val="24"/>
        </w:rPr>
      </w:pPr>
    </w:p>
    <w:p w14:paraId="4315508D">
      <w:pPr>
        <w:ind w:left="720" w:hanging="720"/>
        <w:rPr>
          <w:sz w:val="24"/>
        </w:rPr>
      </w:pPr>
      <w:r>
        <w:rPr>
          <w:sz w:val="24"/>
        </w:rPr>
        <w:t>4.7</w:t>
      </w:r>
      <w:r>
        <w:rPr>
          <w:sz w:val="24"/>
        </w:rPr>
        <w:tab/>
      </w:r>
      <w:r>
        <w:rPr>
          <w:sz w:val="24"/>
        </w:rPr>
        <w:t>All risk assessments will be discussed with the Service User and / or their legal representatives.</w:t>
      </w:r>
    </w:p>
    <w:p w14:paraId="0C33D46F">
      <w:pPr>
        <w:ind w:left="720" w:hanging="720"/>
        <w:rPr>
          <w:sz w:val="24"/>
        </w:rPr>
      </w:pPr>
    </w:p>
    <w:p w14:paraId="371668E1">
      <w:pPr>
        <w:ind w:left="720" w:hanging="720"/>
        <w:rPr>
          <w:sz w:val="24"/>
        </w:rPr>
      </w:pPr>
      <w:r>
        <w:rPr>
          <w:sz w:val="24"/>
        </w:rPr>
        <w:t>4.8</w:t>
      </w:r>
      <w:r>
        <w:rPr>
          <w:sz w:val="24"/>
        </w:rPr>
        <w:tab/>
      </w:r>
      <w:r>
        <w:rPr>
          <w:sz w:val="24"/>
        </w:rPr>
        <w:t>All risk assessments will be clearly written up and shared with staff involved in the Service User’s care.</w:t>
      </w:r>
    </w:p>
    <w:p w14:paraId="4D7B6D7E">
      <w:pPr>
        <w:ind w:left="720" w:hanging="720"/>
        <w:rPr>
          <w:sz w:val="24"/>
        </w:rPr>
      </w:pPr>
    </w:p>
    <w:p w14:paraId="5557ABEA">
      <w:pPr>
        <w:ind w:left="720" w:hanging="720"/>
        <w:rPr>
          <w:sz w:val="24"/>
        </w:rPr>
      </w:pPr>
      <w:r>
        <w:rPr>
          <w:sz w:val="24"/>
        </w:rPr>
        <w:t>4.9</w:t>
      </w:r>
      <w:r>
        <w:rPr>
          <w:sz w:val="24"/>
        </w:rPr>
        <w:tab/>
      </w:r>
      <w:r>
        <w:rPr>
          <w:sz w:val="24"/>
        </w:rPr>
        <w:t xml:space="preserve">Risk assessments must be reviewed periodically and always when something change in the condition of the Service User, the environment, the equipment or staff available to facilitate the moving and handling procedure. </w:t>
      </w:r>
    </w:p>
    <w:p w14:paraId="3526D7E7">
      <w:pPr>
        <w:ind w:left="720" w:hanging="720"/>
        <w:rPr>
          <w:b/>
          <w:bCs/>
          <w:sz w:val="24"/>
        </w:rPr>
      </w:pPr>
    </w:p>
    <w:p w14:paraId="44808E86">
      <w:pPr>
        <w:ind w:left="720" w:hanging="720"/>
        <w:rPr>
          <w:sz w:val="24"/>
        </w:rPr>
      </w:pPr>
      <w:r>
        <w:rPr>
          <w:sz w:val="24"/>
        </w:rPr>
        <w:t>4.10</w:t>
      </w:r>
      <w:r>
        <w:rPr>
          <w:sz w:val="24"/>
        </w:rPr>
        <w:tab/>
      </w:r>
      <w:r>
        <w:rPr>
          <w:sz w:val="24"/>
        </w:rPr>
        <w:t xml:space="preserve">In some instances, e.g., when providing care and support for people living with obesity or specific conditions which require variations in the way in which moving and handling is undertaken, the Service will seek advice from specialists, e.g., occupational or physio therapists. </w:t>
      </w:r>
    </w:p>
    <w:p w14:paraId="3B6ADEF4">
      <w:pPr>
        <w:ind w:left="720" w:hanging="720"/>
        <w:rPr>
          <w:sz w:val="24"/>
        </w:rPr>
      </w:pPr>
    </w:p>
    <w:p w14:paraId="008BD123">
      <w:pPr>
        <w:ind w:left="720" w:hanging="720"/>
        <w:rPr>
          <w:sz w:val="24"/>
        </w:rPr>
      </w:pPr>
      <w:r>
        <w:rPr>
          <w:sz w:val="24"/>
        </w:rPr>
        <w:t>4.11</w:t>
      </w:r>
      <w:r>
        <w:rPr>
          <w:sz w:val="24"/>
        </w:rPr>
        <w:tab/>
      </w:r>
      <w:r>
        <w:rPr>
          <w:sz w:val="24"/>
        </w:rPr>
        <w:t xml:space="preserve">If a Service User refuses to be moved or handled using a specific piece of equipment, we will work with them, their legal representative(s) and specialist healthcare staff to seek an alternative.  Where we cannot identify and agree a satisfactory alternative, we reserve the right to withdraw care for the health and safety of all concerned. </w:t>
      </w:r>
    </w:p>
    <w:p w14:paraId="3CFE9619">
      <w:pPr>
        <w:ind w:left="720" w:hanging="720"/>
        <w:rPr>
          <w:sz w:val="24"/>
        </w:rPr>
      </w:pPr>
    </w:p>
    <w:p w14:paraId="11766443">
      <w:pPr>
        <w:ind w:left="720" w:hanging="720"/>
        <w:rPr>
          <w:b/>
          <w:bCs/>
          <w:sz w:val="24"/>
        </w:rPr>
      </w:pPr>
    </w:p>
    <w:p w14:paraId="6999FC8D">
      <w:pPr>
        <w:ind w:left="720" w:hanging="720"/>
        <w:rPr>
          <w:b/>
          <w:bCs/>
          <w:sz w:val="24"/>
        </w:rPr>
      </w:pPr>
      <w:r>
        <w:rPr>
          <w:b/>
          <w:bCs/>
          <w:sz w:val="24"/>
        </w:rPr>
        <w:t>5.0</w:t>
      </w:r>
      <w:r>
        <w:rPr>
          <w:b/>
          <w:bCs/>
          <w:sz w:val="24"/>
        </w:rPr>
        <w:tab/>
      </w:r>
      <w:r>
        <w:rPr>
          <w:b/>
          <w:bCs/>
          <w:sz w:val="24"/>
        </w:rPr>
        <w:t>EQUIPMENT</w:t>
      </w:r>
    </w:p>
    <w:p w14:paraId="466D2674">
      <w:pPr>
        <w:ind w:left="720" w:hanging="720"/>
        <w:rPr>
          <w:b/>
          <w:bCs/>
          <w:sz w:val="24"/>
        </w:rPr>
      </w:pPr>
    </w:p>
    <w:p w14:paraId="5F74753F">
      <w:pPr>
        <w:ind w:left="720" w:hanging="720"/>
        <w:rPr>
          <w:sz w:val="24"/>
        </w:rPr>
      </w:pPr>
      <w:r>
        <w:rPr>
          <w:sz w:val="24"/>
        </w:rPr>
        <w:t>5.1.</w:t>
      </w:r>
      <w:r>
        <w:rPr>
          <w:b/>
          <w:bCs/>
          <w:sz w:val="24"/>
        </w:rPr>
        <w:t xml:space="preserve"> </w:t>
      </w:r>
      <w:r>
        <w:rPr>
          <w:b/>
          <w:bCs/>
          <w:sz w:val="24"/>
        </w:rPr>
        <w:tab/>
      </w:r>
      <w:r>
        <w:rPr>
          <w:sz w:val="24"/>
        </w:rPr>
        <w:t xml:space="preserve">The Service will provide all such appropriate equipment as may be required to safely carry out approved moving and handling activity. </w:t>
      </w:r>
    </w:p>
    <w:p w14:paraId="378A18E9">
      <w:pPr>
        <w:ind w:left="720" w:hanging="720"/>
        <w:rPr>
          <w:sz w:val="24"/>
        </w:rPr>
      </w:pPr>
    </w:p>
    <w:p w14:paraId="7D848E7A">
      <w:pPr>
        <w:ind w:left="720" w:hanging="720"/>
        <w:rPr>
          <w:sz w:val="24"/>
        </w:rPr>
      </w:pPr>
      <w:r>
        <w:rPr>
          <w:sz w:val="24"/>
        </w:rPr>
        <w:t>5.2</w:t>
      </w:r>
      <w:r>
        <w:rPr>
          <w:sz w:val="24"/>
        </w:rPr>
        <w:tab/>
      </w:r>
      <w:r>
        <w:rPr>
          <w:sz w:val="24"/>
        </w:rPr>
        <w:t xml:space="preserve">The equipment to be used will be specified as part of a risk assessment of moving and handling needs that should be carried out for each individual or task, and form part of the Service User </w:t>
      </w:r>
      <w:r>
        <w:fldChar w:fldCharType="begin"/>
      </w:r>
      <w:r>
        <w:instrText xml:space="preserve"> HYPERLINK "https://c8online.com/projects/5689-cared4-document-system/folders/221631-3-1-forms?selected_document_id=1570025" </w:instrText>
      </w:r>
      <w:r>
        <w:fldChar w:fldCharType="separate"/>
      </w:r>
      <w:r>
        <w:rPr>
          <w:rStyle w:val="16"/>
          <w:sz w:val="24"/>
        </w:rPr>
        <w:t>Person-Centred Care Plan, DC-054</w:t>
      </w:r>
      <w:r>
        <w:rPr>
          <w:rStyle w:val="16"/>
          <w:sz w:val="24"/>
        </w:rPr>
        <w:fldChar w:fldCharType="end"/>
      </w:r>
      <w:r>
        <w:rPr>
          <w:sz w:val="24"/>
        </w:rPr>
        <w:t>.</w:t>
      </w:r>
    </w:p>
    <w:p w14:paraId="615AD8E7">
      <w:pPr>
        <w:ind w:left="720" w:hanging="720"/>
        <w:rPr>
          <w:sz w:val="24"/>
        </w:rPr>
      </w:pPr>
    </w:p>
    <w:p w14:paraId="753FF60C">
      <w:pPr>
        <w:ind w:left="720" w:hanging="720"/>
        <w:rPr>
          <w:sz w:val="24"/>
        </w:rPr>
      </w:pPr>
      <w:r>
        <w:rPr>
          <w:sz w:val="24"/>
        </w:rPr>
        <w:t>5.3</w:t>
      </w:r>
      <w:r>
        <w:rPr>
          <w:sz w:val="24"/>
        </w:rPr>
        <w:tab/>
      </w:r>
      <w:r>
        <w:rPr>
          <w:sz w:val="24"/>
        </w:rPr>
        <w:t>All equipment will be properly maintained by the Service according to the manufacturer’s instructions and the requirements of the Lifting Operations and Lifting Equipment Regulations 1998 (LOLER) and Provision and Use of Work Equipment Regulations 1998 (PUWER).</w:t>
      </w:r>
    </w:p>
    <w:p w14:paraId="2FB543EB">
      <w:pPr>
        <w:ind w:left="720" w:hanging="720"/>
        <w:rPr>
          <w:sz w:val="24"/>
        </w:rPr>
      </w:pPr>
    </w:p>
    <w:p w14:paraId="6551EB4F">
      <w:pPr>
        <w:ind w:left="720" w:hanging="720"/>
        <w:rPr>
          <w:sz w:val="24"/>
        </w:rPr>
      </w:pPr>
      <w:r>
        <w:rPr>
          <w:sz w:val="24"/>
        </w:rPr>
        <w:t>5.4</w:t>
      </w:r>
      <w:r>
        <w:rPr>
          <w:sz w:val="24"/>
        </w:rPr>
        <w:tab/>
      </w:r>
      <w:r>
        <w:rPr>
          <w:sz w:val="24"/>
        </w:rPr>
        <w:t>Staff must only use equipment which they have been trained and deemed competent to use.</w:t>
      </w:r>
    </w:p>
    <w:p w14:paraId="791C0432">
      <w:pPr>
        <w:ind w:left="720" w:hanging="720"/>
        <w:rPr>
          <w:sz w:val="24"/>
        </w:rPr>
      </w:pPr>
    </w:p>
    <w:p w14:paraId="472673E4">
      <w:pPr>
        <w:ind w:left="720" w:hanging="720"/>
        <w:rPr>
          <w:sz w:val="24"/>
        </w:rPr>
      </w:pPr>
      <w:r>
        <w:rPr>
          <w:sz w:val="24"/>
        </w:rPr>
        <w:t>5.5</w:t>
      </w:r>
      <w:r>
        <w:rPr>
          <w:sz w:val="24"/>
        </w:rPr>
        <w:tab/>
      </w:r>
      <w:r>
        <w:rPr>
          <w:sz w:val="24"/>
        </w:rPr>
        <w:t>Staff should only use moving and handling equipment which is approved by the Service, including:</w:t>
      </w:r>
    </w:p>
    <w:p w14:paraId="14EF8A2A">
      <w:pPr>
        <w:numPr>
          <w:ilvl w:val="1"/>
          <w:numId w:val="6"/>
        </w:numPr>
        <w:ind w:left="1134" w:hanging="425"/>
        <w:rPr>
          <w:sz w:val="24"/>
        </w:rPr>
      </w:pPr>
      <w:r>
        <w:rPr>
          <w:sz w:val="24"/>
        </w:rPr>
        <w:t>Evacuation slide sheets.</w:t>
      </w:r>
    </w:p>
    <w:p w14:paraId="1D2B6407">
      <w:pPr>
        <w:numPr>
          <w:ilvl w:val="1"/>
          <w:numId w:val="6"/>
        </w:numPr>
        <w:rPr>
          <w:sz w:val="24"/>
        </w:rPr>
      </w:pPr>
      <w:r>
        <w:rPr>
          <w:sz w:val="24"/>
        </w:rPr>
        <w:t xml:space="preserve">Full hoist using slings. </w:t>
      </w:r>
    </w:p>
    <w:p w14:paraId="17CBC3F2">
      <w:pPr>
        <w:numPr>
          <w:ilvl w:val="1"/>
          <w:numId w:val="6"/>
        </w:numPr>
        <w:rPr>
          <w:sz w:val="24"/>
        </w:rPr>
      </w:pPr>
      <w:r>
        <w:rPr>
          <w:sz w:val="24"/>
        </w:rPr>
        <w:t>Slide sheets.</w:t>
      </w:r>
    </w:p>
    <w:p w14:paraId="66708D4E">
      <w:pPr>
        <w:numPr>
          <w:ilvl w:val="1"/>
          <w:numId w:val="6"/>
        </w:numPr>
        <w:rPr>
          <w:sz w:val="24"/>
        </w:rPr>
      </w:pPr>
      <w:r>
        <w:rPr>
          <w:sz w:val="24"/>
        </w:rPr>
        <w:t>Standing aids, e.g., Sara Stedy.</w:t>
      </w:r>
    </w:p>
    <w:p w14:paraId="5E6842A2">
      <w:pPr>
        <w:numPr>
          <w:ilvl w:val="1"/>
          <w:numId w:val="6"/>
        </w:numPr>
        <w:rPr>
          <w:sz w:val="24"/>
        </w:rPr>
      </w:pPr>
      <w:r>
        <w:rPr>
          <w:sz w:val="24"/>
        </w:rPr>
        <w:t>Standing hoists using standing hoist slings.</w:t>
      </w:r>
    </w:p>
    <w:p w14:paraId="12797D8C">
      <w:pPr>
        <w:numPr>
          <w:ilvl w:val="1"/>
          <w:numId w:val="6"/>
        </w:numPr>
        <w:rPr>
          <w:sz w:val="24"/>
        </w:rPr>
      </w:pPr>
      <w:r>
        <w:rPr>
          <w:sz w:val="24"/>
        </w:rPr>
        <w:t>Transfer belts.</w:t>
      </w:r>
    </w:p>
    <w:p w14:paraId="528C37DE">
      <w:pPr>
        <w:numPr>
          <w:ilvl w:val="1"/>
          <w:numId w:val="6"/>
        </w:numPr>
        <w:rPr>
          <w:sz w:val="24"/>
        </w:rPr>
      </w:pPr>
      <w:r>
        <w:rPr>
          <w:sz w:val="24"/>
        </w:rPr>
        <w:t>Turntable/turning discs.</w:t>
      </w:r>
    </w:p>
    <w:p w14:paraId="70B4B5EB">
      <w:pPr>
        <w:rPr>
          <w:sz w:val="24"/>
        </w:rPr>
      </w:pPr>
    </w:p>
    <w:p w14:paraId="1725C7A3">
      <w:pPr>
        <w:ind w:left="720" w:hanging="720"/>
        <w:rPr>
          <w:sz w:val="24"/>
        </w:rPr>
      </w:pPr>
      <w:r>
        <w:rPr>
          <w:sz w:val="24"/>
        </w:rPr>
        <w:t>5.6</w:t>
      </w:r>
      <w:r>
        <w:rPr>
          <w:sz w:val="24"/>
        </w:rPr>
        <w:tab/>
      </w:r>
      <w:r>
        <w:rPr>
          <w:sz w:val="24"/>
        </w:rPr>
        <w:t xml:space="preserve">Equipment for moving and handling provided by third parties, e.g. the Service User or community store, is their responsibility to maintain and service. </w:t>
      </w:r>
    </w:p>
    <w:p w14:paraId="1C6145DC">
      <w:pPr>
        <w:ind w:left="720" w:hanging="720"/>
        <w:rPr>
          <w:sz w:val="24"/>
        </w:rPr>
      </w:pPr>
    </w:p>
    <w:p w14:paraId="171B1723">
      <w:pPr>
        <w:ind w:left="720" w:hanging="720"/>
        <w:rPr>
          <w:b/>
          <w:bCs/>
          <w:sz w:val="24"/>
        </w:rPr>
      </w:pPr>
      <w:r>
        <w:rPr>
          <w:b/>
          <w:bCs/>
          <w:sz w:val="24"/>
        </w:rPr>
        <w:t>6.0</w:t>
      </w:r>
      <w:r>
        <w:rPr>
          <w:b/>
          <w:bCs/>
          <w:sz w:val="24"/>
        </w:rPr>
        <w:tab/>
      </w:r>
      <w:r>
        <w:rPr>
          <w:b/>
          <w:bCs/>
          <w:sz w:val="24"/>
        </w:rPr>
        <w:t>STAFF TRAINING</w:t>
      </w:r>
    </w:p>
    <w:p w14:paraId="7C8FEFC5">
      <w:pPr>
        <w:ind w:left="720" w:hanging="720"/>
        <w:rPr>
          <w:b/>
          <w:bCs/>
          <w:sz w:val="24"/>
        </w:rPr>
      </w:pPr>
    </w:p>
    <w:p w14:paraId="08E643C6">
      <w:pPr>
        <w:ind w:left="720" w:hanging="720"/>
        <w:rPr>
          <w:sz w:val="24"/>
        </w:rPr>
      </w:pPr>
      <w:r>
        <w:rPr>
          <w:sz w:val="24"/>
        </w:rPr>
        <w:t>6.1</w:t>
      </w:r>
      <w:r>
        <w:rPr>
          <w:sz w:val="24"/>
        </w:rPr>
        <w:tab/>
      </w:r>
      <w:r>
        <w:rPr>
          <w:sz w:val="24"/>
        </w:rPr>
        <w:t>All staff should receive training in the assessment and handling needs of Service Users including selecting the right equipment of the right size for the Service User’s needs.</w:t>
      </w:r>
    </w:p>
    <w:p w14:paraId="04C2AED7">
      <w:pPr>
        <w:ind w:left="720" w:hanging="720"/>
        <w:rPr>
          <w:sz w:val="24"/>
        </w:rPr>
      </w:pPr>
    </w:p>
    <w:p w14:paraId="3BBA3284">
      <w:pPr>
        <w:rPr>
          <w:sz w:val="24"/>
        </w:rPr>
      </w:pPr>
      <w:r>
        <w:rPr>
          <w:sz w:val="24"/>
        </w:rPr>
        <w:t>6.2</w:t>
      </w:r>
      <w:r>
        <w:rPr>
          <w:sz w:val="24"/>
        </w:rPr>
        <w:tab/>
      </w:r>
      <w:r>
        <w:rPr>
          <w:sz w:val="24"/>
        </w:rPr>
        <w:t xml:space="preserve">Competency based training and all necessary information will be given to staff in </w:t>
      </w:r>
      <w:r>
        <w:rPr>
          <w:sz w:val="24"/>
        </w:rPr>
        <w:tab/>
      </w:r>
      <w:r>
        <w:rPr>
          <w:sz w:val="24"/>
        </w:rPr>
        <w:t>order to create a safe system of work.</w:t>
      </w:r>
    </w:p>
    <w:p w14:paraId="7130C592">
      <w:pPr>
        <w:ind w:left="720" w:hanging="720"/>
        <w:rPr>
          <w:sz w:val="24"/>
        </w:rPr>
      </w:pPr>
    </w:p>
    <w:p w14:paraId="77186726">
      <w:pPr>
        <w:ind w:left="720" w:hanging="720"/>
        <w:rPr>
          <w:sz w:val="24"/>
        </w:rPr>
      </w:pPr>
      <w:r>
        <w:rPr>
          <w:sz w:val="24"/>
        </w:rPr>
        <w:t>6.3</w:t>
      </w:r>
      <w:r>
        <w:rPr>
          <w:sz w:val="24"/>
        </w:rPr>
        <w:tab/>
      </w:r>
      <w:r>
        <w:rPr>
          <w:sz w:val="24"/>
        </w:rPr>
        <w:t>All staff should receive training on the use of mechanical equipment and aids used by the service, before being used with Service Users.</w:t>
      </w:r>
    </w:p>
    <w:p w14:paraId="7E3A1968">
      <w:pPr>
        <w:ind w:left="720" w:hanging="720"/>
        <w:rPr>
          <w:sz w:val="24"/>
        </w:rPr>
      </w:pPr>
    </w:p>
    <w:p w14:paraId="46BF1256">
      <w:pPr>
        <w:ind w:left="720" w:hanging="720"/>
        <w:rPr>
          <w:sz w:val="24"/>
        </w:rPr>
      </w:pPr>
      <w:r>
        <w:rPr>
          <w:sz w:val="24"/>
        </w:rPr>
        <w:t>6.4</w:t>
      </w:r>
      <w:r>
        <w:rPr>
          <w:sz w:val="24"/>
        </w:rPr>
        <w:tab/>
      </w:r>
      <w:r>
        <w:rPr>
          <w:sz w:val="24"/>
        </w:rPr>
        <w:t>Staff will not move or handle Service Users unless at least one of those present, the leader for the intervention, is up to date with their moving and handling training and proficiencies including in the use of the equipment to be used in the procedure.</w:t>
      </w:r>
    </w:p>
    <w:p w14:paraId="094FABD7">
      <w:pPr>
        <w:ind w:left="720" w:hanging="720"/>
        <w:rPr>
          <w:sz w:val="24"/>
        </w:rPr>
      </w:pPr>
    </w:p>
    <w:p w14:paraId="0C2A0899">
      <w:pPr>
        <w:ind w:left="720" w:hanging="720"/>
        <w:rPr>
          <w:sz w:val="24"/>
        </w:rPr>
      </w:pPr>
      <w:r>
        <w:rPr>
          <w:sz w:val="24"/>
        </w:rPr>
        <w:t>6.5</w:t>
      </w:r>
      <w:r>
        <w:rPr>
          <w:sz w:val="24"/>
        </w:rPr>
        <w:tab/>
      </w:r>
      <w:r>
        <w:rPr>
          <w:sz w:val="24"/>
        </w:rPr>
        <w:t>Initial training will take place at induction and will include theoretical and practical skills assessed though knowledge and practical skills (competency) testing.</w:t>
      </w:r>
    </w:p>
    <w:p w14:paraId="0FC779B2">
      <w:pPr>
        <w:ind w:left="720" w:hanging="720"/>
        <w:rPr>
          <w:sz w:val="24"/>
        </w:rPr>
      </w:pPr>
    </w:p>
    <w:p w14:paraId="2280F727">
      <w:pPr>
        <w:ind w:left="720" w:hanging="720"/>
        <w:rPr>
          <w:sz w:val="24"/>
        </w:rPr>
      </w:pPr>
      <w:r>
        <w:rPr>
          <w:sz w:val="24"/>
        </w:rPr>
        <w:t>6.6</w:t>
      </w:r>
      <w:r>
        <w:rPr>
          <w:sz w:val="24"/>
        </w:rPr>
        <w:tab/>
      </w:r>
      <w:r>
        <w:rPr>
          <w:sz w:val="24"/>
        </w:rPr>
        <w:t xml:space="preserve">All staff will renew their moving and handling training at least annually and whenever there is a change in the equipment being used or in the risk assessments applying to Service Users in their care. </w:t>
      </w:r>
    </w:p>
    <w:p w14:paraId="2EEE11FD">
      <w:pPr>
        <w:ind w:left="720" w:hanging="720"/>
        <w:rPr>
          <w:sz w:val="24"/>
        </w:rPr>
      </w:pPr>
    </w:p>
    <w:p w14:paraId="7E153936">
      <w:pPr>
        <w:ind w:left="720" w:hanging="720"/>
        <w:rPr>
          <w:sz w:val="24"/>
        </w:rPr>
      </w:pPr>
      <w:r>
        <w:rPr>
          <w:sz w:val="24"/>
        </w:rPr>
        <w:t>6.7</w:t>
      </w:r>
      <w:r>
        <w:rPr>
          <w:sz w:val="24"/>
        </w:rPr>
        <w:tab/>
      </w:r>
      <w:r>
        <w:rPr>
          <w:sz w:val="24"/>
        </w:rPr>
        <w:t>Training will include:</w:t>
      </w:r>
    </w:p>
    <w:p w14:paraId="3793351C">
      <w:pPr>
        <w:numPr>
          <w:ilvl w:val="0"/>
          <w:numId w:val="7"/>
        </w:numPr>
        <w:ind w:left="1134"/>
        <w:rPr>
          <w:sz w:val="24"/>
        </w:rPr>
      </w:pPr>
      <w:r>
        <w:rPr>
          <w:sz w:val="24"/>
        </w:rPr>
        <w:t>Skills for moving and positioning Service Users.</w:t>
      </w:r>
    </w:p>
    <w:p w14:paraId="1839170C">
      <w:pPr>
        <w:numPr>
          <w:ilvl w:val="0"/>
          <w:numId w:val="7"/>
        </w:numPr>
        <w:ind w:left="1134"/>
        <w:rPr>
          <w:sz w:val="24"/>
        </w:rPr>
      </w:pPr>
      <w:r>
        <w:rPr>
          <w:sz w:val="24"/>
        </w:rPr>
        <w:t>Equipment use, including sizes and compatibility.</w:t>
      </w:r>
    </w:p>
    <w:p w14:paraId="327261FB">
      <w:pPr>
        <w:numPr>
          <w:ilvl w:val="0"/>
          <w:numId w:val="7"/>
        </w:numPr>
        <w:ind w:left="1134"/>
        <w:rPr>
          <w:sz w:val="24"/>
        </w:rPr>
      </w:pPr>
      <w:r>
        <w:rPr>
          <w:sz w:val="24"/>
        </w:rPr>
        <w:t>Understanding applicable legislation and guidelines.</w:t>
      </w:r>
    </w:p>
    <w:p w14:paraId="7F3948C2">
      <w:pPr>
        <w:numPr>
          <w:ilvl w:val="0"/>
          <w:numId w:val="7"/>
        </w:numPr>
        <w:ind w:left="1134"/>
        <w:rPr>
          <w:sz w:val="24"/>
        </w:rPr>
      </w:pPr>
      <w:r>
        <w:rPr>
          <w:sz w:val="24"/>
        </w:rPr>
        <w:t>The anatomy and physiology of moving and handling.</w:t>
      </w:r>
    </w:p>
    <w:p w14:paraId="47CA8ACA">
      <w:pPr>
        <w:numPr>
          <w:ilvl w:val="0"/>
          <w:numId w:val="7"/>
        </w:numPr>
        <w:ind w:left="1134"/>
        <w:rPr>
          <w:sz w:val="24"/>
        </w:rPr>
      </w:pPr>
      <w:r>
        <w:rPr>
          <w:sz w:val="24"/>
        </w:rPr>
        <w:t>Risk management for moving and handling.</w:t>
      </w:r>
    </w:p>
    <w:p w14:paraId="5AED1FB2">
      <w:pPr>
        <w:numPr>
          <w:ilvl w:val="0"/>
          <w:numId w:val="7"/>
        </w:numPr>
        <w:ind w:left="1134"/>
        <w:rPr>
          <w:sz w:val="24"/>
        </w:rPr>
      </w:pPr>
      <w:r>
        <w:rPr>
          <w:sz w:val="24"/>
        </w:rPr>
        <w:t xml:space="preserve">Understanding when to seek help with moving and handling. </w:t>
      </w:r>
    </w:p>
    <w:p w14:paraId="73C8D856">
      <w:pPr>
        <w:rPr>
          <w:sz w:val="24"/>
        </w:rPr>
      </w:pPr>
    </w:p>
    <w:p w14:paraId="61B27D07">
      <w:pPr>
        <w:ind w:left="720" w:hanging="720"/>
        <w:rPr>
          <w:sz w:val="24"/>
        </w:rPr>
      </w:pPr>
      <w:r>
        <w:rPr>
          <w:sz w:val="24"/>
        </w:rPr>
        <w:t>6.8</w:t>
      </w:r>
      <w:r>
        <w:rPr>
          <w:sz w:val="24"/>
        </w:rPr>
        <w:tab/>
      </w:r>
      <w:r>
        <w:rPr>
          <w:sz w:val="24"/>
        </w:rPr>
        <w:t xml:space="preserve">Staff will also receive instruction on the movement and handling of objects as it applies to their role. </w:t>
      </w:r>
    </w:p>
    <w:p w14:paraId="62888469">
      <w:pPr>
        <w:ind w:left="720" w:hanging="720"/>
        <w:rPr>
          <w:sz w:val="24"/>
        </w:rPr>
      </w:pPr>
    </w:p>
    <w:p w14:paraId="5570390E">
      <w:pPr>
        <w:ind w:left="720" w:hanging="720"/>
        <w:rPr>
          <w:sz w:val="24"/>
        </w:rPr>
      </w:pPr>
      <w:r>
        <w:rPr>
          <w:sz w:val="24"/>
        </w:rPr>
        <w:t xml:space="preserve">6.9 </w:t>
      </w:r>
      <w:r>
        <w:rPr>
          <w:sz w:val="24"/>
        </w:rPr>
        <w:tab/>
      </w:r>
      <w:r>
        <w:rPr>
          <w:sz w:val="24"/>
        </w:rPr>
        <w:t>When moving and handling items which do not need to be handled using equipment staff should:</w:t>
      </w:r>
    </w:p>
    <w:p w14:paraId="338DD309">
      <w:pPr>
        <w:numPr>
          <w:ilvl w:val="0"/>
          <w:numId w:val="8"/>
        </w:numPr>
        <w:ind w:left="1134" w:hanging="425"/>
        <w:rPr>
          <w:sz w:val="24"/>
        </w:rPr>
      </w:pPr>
      <w:r>
        <w:rPr>
          <w:sz w:val="24"/>
        </w:rPr>
        <w:t xml:space="preserve">Check the item is of a size, shape and weight which can be manually moved. </w:t>
      </w:r>
    </w:p>
    <w:p w14:paraId="771E672A">
      <w:pPr>
        <w:numPr>
          <w:ilvl w:val="0"/>
          <w:numId w:val="8"/>
        </w:numPr>
        <w:tabs>
          <w:tab w:val="left" w:pos="1134"/>
        </w:tabs>
        <w:ind w:left="1134" w:hanging="425"/>
        <w:rPr>
          <w:sz w:val="24"/>
        </w:rPr>
      </w:pPr>
      <w:r>
        <w:rPr>
          <w:sz w:val="24"/>
        </w:rPr>
        <w:t>Check that the environment allows them to bend and move freely.</w:t>
      </w:r>
    </w:p>
    <w:p w14:paraId="2F2965AC">
      <w:pPr>
        <w:numPr>
          <w:ilvl w:val="0"/>
          <w:numId w:val="8"/>
        </w:numPr>
        <w:tabs>
          <w:tab w:val="left" w:pos="1134"/>
        </w:tabs>
        <w:ind w:left="1134" w:hanging="425"/>
        <w:rPr>
          <w:sz w:val="24"/>
        </w:rPr>
      </w:pPr>
      <w:r>
        <w:rPr>
          <w:sz w:val="24"/>
        </w:rPr>
        <w:t xml:space="preserve">Place their feet a hip-width apart. </w:t>
      </w:r>
    </w:p>
    <w:p w14:paraId="622E55F8">
      <w:pPr>
        <w:numPr>
          <w:ilvl w:val="0"/>
          <w:numId w:val="8"/>
        </w:numPr>
        <w:tabs>
          <w:tab w:val="left" w:pos="1134"/>
        </w:tabs>
        <w:ind w:left="1134" w:hanging="425"/>
        <w:rPr>
          <w:sz w:val="24"/>
        </w:rPr>
      </w:pPr>
      <w:r>
        <w:rPr>
          <w:sz w:val="24"/>
        </w:rPr>
        <w:t>Grasp the load firmly, usually with two hands.</w:t>
      </w:r>
    </w:p>
    <w:p w14:paraId="0FD19563">
      <w:pPr>
        <w:numPr>
          <w:ilvl w:val="0"/>
          <w:numId w:val="8"/>
        </w:numPr>
        <w:tabs>
          <w:tab w:val="left" w:pos="1134"/>
        </w:tabs>
        <w:ind w:left="1134" w:hanging="425"/>
        <w:rPr>
          <w:sz w:val="24"/>
        </w:rPr>
      </w:pPr>
      <w:r>
        <w:rPr>
          <w:sz w:val="24"/>
        </w:rPr>
        <w:t>Use their leg muscles and not their back to lift the load, i.e. avoid bending.</w:t>
      </w:r>
    </w:p>
    <w:p w14:paraId="03AC6B1F">
      <w:pPr>
        <w:numPr>
          <w:ilvl w:val="0"/>
          <w:numId w:val="8"/>
        </w:numPr>
        <w:tabs>
          <w:tab w:val="left" w:pos="1134"/>
        </w:tabs>
        <w:ind w:left="1134" w:hanging="425"/>
        <w:rPr>
          <w:sz w:val="24"/>
        </w:rPr>
      </w:pPr>
      <w:r>
        <w:rPr>
          <w:sz w:val="24"/>
        </w:rPr>
        <w:t>Maintain a straight back.</w:t>
      </w:r>
    </w:p>
    <w:p w14:paraId="3157028C">
      <w:pPr>
        <w:numPr>
          <w:ilvl w:val="0"/>
          <w:numId w:val="8"/>
        </w:numPr>
        <w:tabs>
          <w:tab w:val="left" w:pos="1134"/>
        </w:tabs>
        <w:ind w:left="1134" w:hanging="425"/>
        <w:rPr>
          <w:sz w:val="24"/>
        </w:rPr>
      </w:pPr>
      <w:r>
        <w:rPr>
          <w:sz w:val="24"/>
        </w:rPr>
        <w:t>Keep their head up and facing forward.</w:t>
      </w:r>
    </w:p>
    <w:p w14:paraId="5F3CD124">
      <w:pPr>
        <w:numPr>
          <w:ilvl w:val="0"/>
          <w:numId w:val="8"/>
        </w:numPr>
        <w:tabs>
          <w:tab w:val="left" w:pos="1134"/>
        </w:tabs>
        <w:ind w:left="1134" w:hanging="425"/>
        <w:rPr>
          <w:sz w:val="24"/>
        </w:rPr>
      </w:pPr>
      <w:r>
        <w:rPr>
          <w:sz w:val="24"/>
        </w:rPr>
        <w:t xml:space="preserve">Keep the load as close to their body as possible.  </w:t>
      </w:r>
    </w:p>
    <w:p w14:paraId="6D665E6D">
      <w:pPr>
        <w:ind w:left="720" w:hanging="720"/>
        <w:rPr>
          <w:b/>
          <w:bCs/>
          <w:sz w:val="24"/>
        </w:rPr>
      </w:pPr>
    </w:p>
    <w:p w14:paraId="149E5BAE">
      <w:pPr>
        <w:ind w:left="720" w:hanging="720"/>
        <w:rPr>
          <w:b/>
          <w:bCs/>
          <w:sz w:val="24"/>
        </w:rPr>
      </w:pPr>
      <w:r>
        <w:rPr>
          <w:b/>
          <w:bCs/>
          <w:sz w:val="24"/>
        </w:rPr>
        <w:t>7.0</w:t>
      </w:r>
      <w:r>
        <w:rPr>
          <w:b/>
          <w:bCs/>
          <w:sz w:val="24"/>
        </w:rPr>
        <w:tab/>
      </w:r>
      <w:r>
        <w:rPr>
          <w:b/>
          <w:bCs/>
          <w:sz w:val="24"/>
        </w:rPr>
        <w:t xml:space="preserve">MANAGER’S RESPONSIBILITIES </w:t>
      </w:r>
    </w:p>
    <w:p w14:paraId="1CA97C87">
      <w:pPr>
        <w:ind w:left="720" w:hanging="720"/>
        <w:rPr>
          <w:sz w:val="24"/>
        </w:rPr>
      </w:pPr>
    </w:p>
    <w:p w14:paraId="753F0433">
      <w:pPr>
        <w:ind w:left="720" w:hanging="720"/>
        <w:rPr>
          <w:sz w:val="24"/>
        </w:rPr>
      </w:pPr>
      <w:r>
        <w:rPr>
          <w:sz w:val="24"/>
        </w:rPr>
        <w:t>7.1</w:t>
      </w:r>
      <w:r>
        <w:rPr>
          <w:sz w:val="24"/>
        </w:rPr>
        <w:tab/>
      </w:r>
      <w:r>
        <w:rPr>
          <w:sz w:val="24"/>
        </w:rPr>
        <w:t>The Manager will ensure compliance with moving and handling as well as health and safety legislation, this includes the auditing, inspection, maintenance and repair of all equipment belonging to the Service.</w:t>
      </w:r>
    </w:p>
    <w:p w14:paraId="022DF21B">
      <w:pPr>
        <w:ind w:left="720" w:hanging="720"/>
        <w:rPr>
          <w:b/>
          <w:bCs/>
          <w:sz w:val="24"/>
        </w:rPr>
      </w:pPr>
    </w:p>
    <w:p w14:paraId="716BA5C5">
      <w:pPr>
        <w:ind w:left="720" w:hanging="720"/>
        <w:rPr>
          <w:sz w:val="24"/>
        </w:rPr>
      </w:pPr>
      <w:r>
        <w:rPr>
          <w:sz w:val="24"/>
        </w:rPr>
        <w:t>7.2</w:t>
      </w:r>
      <w:r>
        <w:rPr>
          <w:sz w:val="24"/>
        </w:rPr>
        <w:tab/>
      </w:r>
      <w:r>
        <w:rPr>
          <w:sz w:val="24"/>
        </w:rPr>
        <w:t>The Manager will arrange staff manual handling training that is carried out by suitably qualified trainers who will ensure that current good-practice techniques are taught.</w:t>
      </w:r>
    </w:p>
    <w:p w14:paraId="73F418BD">
      <w:pPr>
        <w:ind w:left="720" w:hanging="720"/>
        <w:rPr>
          <w:sz w:val="24"/>
        </w:rPr>
      </w:pPr>
    </w:p>
    <w:p w14:paraId="42E6DB9A">
      <w:pPr>
        <w:ind w:left="720" w:hanging="720"/>
        <w:rPr>
          <w:sz w:val="24"/>
        </w:rPr>
      </w:pPr>
      <w:r>
        <w:rPr>
          <w:sz w:val="24"/>
        </w:rPr>
        <w:t>7.3</w:t>
      </w:r>
      <w:r>
        <w:rPr>
          <w:sz w:val="24"/>
        </w:rPr>
        <w:tab/>
      </w:r>
      <w:r>
        <w:rPr>
          <w:sz w:val="24"/>
        </w:rPr>
        <w:t>Where staff are using moving and handling equipment provided by a third party, the manager will liaise with them regarding their responsibilities for servicing and maintenance of the equipment.</w:t>
      </w:r>
    </w:p>
    <w:p w14:paraId="7A3E83E5">
      <w:pPr>
        <w:ind w:left="720" w:hanging="720"/>
        <w:rPr>
          <w:sz w:val="24"/>
        </w:rPr>
      </w:pPr>
    </w:p>
    <w:p w14:paraId="5C9A84FE">
      <w:pPr>
        <w:ind w:left="720" w:hanging="720"/>
        <w:rPr>
          <w:sz w:val="24"/>
        </w:rPr>
      </w:pPr>
      <w:r>
        <w:rPr>
          <w:sz w:val="24"/>
        </w:rPr>
        <w:t>7.4</w:t>
      </w:r>
      <w:r>
        <w:rPr>
          <w:sz w:val="24"/>
        </w:rPr>
        <w:tab/>
      </w:r>
      <w:r>
        <w:rPr>
          <w:sz w:val="24"/>
        </w:rPr>
        <w:t>The manager is responsible for notifications arising out of the incorrect use of moving and handling equipment and accidents as described in 9.3 and 9.5.</w:t>
      </w:r>
    </w:p>
    <w:p w14:paraId="52CF94E8">
      <w:pPr>
        <w:ind w:left="720" w:hanging="720"/>
        <w:rPr>
          <w:b/>
          <w:bCs/>
          <w:sz w:val="24"/>
        </w:rPr>
      </w:pPr>
    </w:p>
    <w:p w14:paraId="52D88842">
      <w:pPr>
        <w:ind w:left="720" w:hanging="720"/>
        <w:rPr>
          <w:b/>
          <w:bCs/>
          <w:sz w:val="24"/>
        </w:rPr>
      </w:pPr>
      <w:r>
        <w:rPr>
          <w:b/>
          <w:bCs/>
          <w:sz w:val="24"/>
        </w:rPr>
        <w:t xml:space="preserve">8.0 </w:t>
      </w:r>
      <w:r>
        <w:rPr>
          <w:b/>
          <w:bCs/>
          <w:sz w:val="24"/>
        </w:rPr>
        <w:tab/>
      </w:r>
      <w:r>
        <w:rPr>
          <w:b/>
          <w:bCs/>
          <w:sz w:val="24"/>
        </w:rPr>
        <w:t xml:space="preserve">STAFF RESPONSIBILITIES </w:t>
      </w:r>
    </w:p>
    <w:p w14:paraId="663F8859">
      <w:pPr>
        <w:ind w:left="720" w:hanging="720"/>
        <w:rPr>
          <w:sz w:val="24"/>
        </w:rPr>
      </w:pPr>
    </w:p>
    <w:p w14:paraId="7935A6E6">
      <w:pPr>
        <w:ind w:left="720" w:hanging="720"/>
        <w:rPr>
          <w:sz w:val="24"/>
        </w:rPr>
      </w:pPr>
      <w:r>
        <w:rPr>
          <w:sz w:val="24"/>
        </w:rPr>
        <w:t>8.1</w:t>
      </w:r>
      <w:r>
        <w:rPr>
          <w:sz w:val="24"/>
        </w:rPr>
        <w:tab/>
      </w:r>
      <w:r>
        <w:rPr>
          <w:sz w:val="24"/>
        </w:rPr>
        <w:t>Staff are responsible for attending / undertaking any theoretical and practical training associated with moving and handling as advised by the Service.</w:t>
      </w:r>
    </w:p>
    <w:p w14:paraId="46F9DEAB">
      <w:pPr>
        <w:ind w:left="720" w:hanging="720"/>
        <w:rPr>
          <w:sz w:val="24"/>
        </w:rPr>
      </w:pPr>
    </w:p>
    <w:p w14:paraId="701903E7">
      <w:pPr>
        <w:ind w:left="720" w:hanging="720"/>
        <w:rPr>
          <w:sz w:val="24"/>
        </w:rPr>
      </w:pPr>
      <w:r>
        <w:rPr>
          <w:sz w:val="24"/>
        </w:rPr>
        <w:t>8.2</w:t>
      </w:r>
      <w:r>
        <w:rPr>
          <w:sz w:val="24"/>
        </w:rPr>
        <w:tab/>
      </w:r>
      <w:r>
        <w:rPr>
          <w:sz w:val="24"/>
        </w:rPr>
        <w:t>All staff are required to follow the training instructions that they have been given and use only the techniques and manoeuvres approved by the Service.</w:t>
      </w:r>
    </w:p>
    <w:p w14:paraId="1369C787">
      <w:pPr>
        <w:ind w:left="720" w:hanging="720"/>
        <w:rPr>
          <w:sz w:val="24"/>
        </w:rPr>
      </w:pPr>
    </w:p>
    <w:p w14:paraId="5D314CB6">
      <w:pPr>
        <w:ind w:left="720" w:hanging="720"/>
        <w:rPr>
          <w:sz w:val="24"/>
        </w:rPr>
      </w:pPr>
      <w:r>
        <w:rPr>
          <w:sz w:val="24"/>
        </w:rPr>
        <w:t>8.3</w:t>
      </w:r>
      <w:r>
        <w:rPr>
          <w:sz w:val="24"/>
        </w:rPr>
        <w:tab/>
      </w:r>
      <w:r>
        <w:rPr>
          <w:sz w:val="24"/>
        </w:rPr>
        <w:t xml:space="preserve">Staff should report changes in the condition of a Service User which may affect the way in which moving and handling is undertaken as soon as they become aware of them so that risk assessments and care and support plans can be updated. </w:t>
      </w:r>
    </w:p>
    <w:p w14:paraId="3FE9A620">
      <w:pPr>
        <w:ind w:left="720" w:hanging="720"/>
        <w:rPr>
          <w:sz w:val="24"/>
        </w:rPr>
      </w:pPr>
    </w:p>
    <w:p w14:paraId="181899DF">
      <w:pPr>
        <w:ind w:left="720" w:hanging="720"/>
        <w:rPr>
          <w:sz w:val="24"/>
        </w:rPr>
      </w:pPr>
      <w:r>
        <w:rPr>
          <w:sz w:val="24"/>
        </w:rPr>
        <w:t>8.4</w:t>
      </w:r>
      <w:r>
        <w:rPr>
          <w:sz w:val="24"/>
        </w:rPr>
        <w:tab/>
      </w:r>
      <w:r>
        <w:rPr>
          <w:sz w:val="24"/>
        </w:rPr>
        <w:t>Staff should strongly advise other staff not to undertake dangerous moving and handling practices and should report others who do so.</w:t>
      </w:r>
    </w:p>
    <w:p w14:paraId="751DDCDD">
      <w:pPr>
        <w:ind w:left="720" w:hanging="720"/>
        <w:rPr>
          <w:sz w:val="24"/>
        </w:rPr>
      </w:pPr>
    </w:p>
    <w:p w14:paraId="5FB0C3E8">
      <w:pPr>
        <w:ind w:left="720" w:hanging="720"/>
        <w:rPr>
          <w:sz w:val="24"/>
        </w:rPr>
      </w:pPr>
      <w:r>
        <w:rPr>
          <w:sz w:val="24"/>
        </w:rPr>
        <w:t>8.5</w:t>
      </w:r>
      <w:r>
        <w:rPr>
          <w:sz w:val="24"/>
        </w:rPr>
        <w:tab/>
      </w:r>
      <w:r>
        <w:rPr>
          <w:sz w:val="24"/>
        </w:rPr>
        <w:t>Staff should report any issues with moving and handling equipment to the manager as soon as they become aware of them.</w:t>
      </w:r>
    </w:p>
    <w:p w14:paraId="7AA1D791">
      <w:pPr>
        <w:ind w:left="720" w:hanging="720"/>
        <w:rPr>
          <w:sz w:val="24"/>
        </w:rPr>
      </w:pPr>
    </w:p>
    <w:p w14:paraId="1351147B">
      <w:pPr>
        <w:ind w:left="720" w:hanging="720"/>
        <w:rPr>
          <w:sz w:val="24"/>
        </w:rPr>
      </w:pPr>
      <w:r>
        <w:rPr>
          <w:sz w:val="24"/>
        </w:rPr>
        <w:t>8.6</w:t>
      </w:r>
      <w:r>
        <w:rPr>
          <w:sz w:val="24"/>
        </w:rPr>
        <w:tab/>
      </w:r>
      <w:r>
        <w:rPr>
          <w:sz w:val="24"/>
        </w:rPr>
        <w:t xml:space="preserve">Staff are responsible for not undertaking dangerous moving and handling techniques which may be damaging to Service Users, themselves and other staff.  Such practices constitute physical abuse and will result in disciplinary action and may be reported to safeguarding or the police. </w:t>
      </w:r>
    </w:p>
    <w:p w14:paraId="27C8619D">
      <w:pPr>
        <w:ind w:left="720" w:hanging="720"/>
        <w:rPr>
          <w:sz w:val="24"/>
        </w:rPr>
      </w:pPr>
    </w:p>
    <w:p w14:paraId="63E7C1F9">
      <w:pPr>
        <w:ind w:left="720" w:hanging="720"/>
        <w:rPr>
          <w:sz w:val="24"/>
        </w:rPr>
      </w:pPr>
      <w:r>
        <w:rPr>
          <w:sz w:val="24"/>
        </w:rPr>
        <w:t>8.7</w:t>
      </w:r>
      <w:r>
        <w:rPr>
          <w:sz w:val="24"/>
        </w:rPr>
        <w:tab/>
      </w:r>
      <w:r>
        <w:rPr>
          <w:sz w:val="24"/>
        </w:rPr>
        <w:t>Staff with a temporary or permanent disability, as well as staff who may be pregnant, are responsible, with the manager, for ensuring they have a suitable moving and handling risk assessment in place and following these at all times.</w:t>
      </w:r>
    </w:p>
    <w:p w14:paraId="62197101">
      <w:pPr>
        <w:ind w:left="709" w:hanging="709"/>
        <w:rPr>
          <w:b/>
          <w:bCs/>
          <w:sz w:val="24"/>
          <w:szCs w:val="24"/>
        </w:rPr>
      </w:pPr>
    </w:p>
    <w:p w14:paraId="1D59F9ED">
      <w:pPr>
        <w:ind w:left="709" w:hanging="709"/>
        <w:rPr>
          <w:b/>
          <w:bCs/>
          <w:sz w:val="24"/>
          <w:szCs w:val="24"/>
        </w:rPr>
      </w:pPr>
      <w:r>
        <w:rPr>
          <w:b/>
          <w:bCs/>
          <w:sz w:val="24"/>
          <w:szCs w:val="24"/>
        </w:rPr>
        <w:t>9.0</w:t>
      </w:r>
      <w:r>
        <w:rPr>
          <w:b/>
          <w:bCs/>
          <w:sz w:val="24"/>
          <w:szCs w:val="24"/>
        </w:rPr>
        <w:tab/>
      </w:r>
      <w:r>
        <w:rPr>
          <w:b/>
          <w:bCs/>
          <w:sz w:val="24"/>
          <w:szCs w:val="24"/>
        </w:rPr>
        <w:t>CONSEQUENCES OF POOR MOVING AND HANDLING</w:t>
      </w:r>
    </w:p>
    <w:p w14:paraId="62E2D9BA">
      <w:pPr>
        <w:ind w:left="709" w:hanging="709"/>
        <w:rPr>
          <w:b/>
          <w:bCs/>
          <w:sz w:val="24"/>
          <w:szCs w:val="24"/>
        </w:rPr>
      </w:pPr>
    </w:p>
    <w:p w14:paraId="0E9A2B2D">
      <w:pPr>
        <w:ind w:left="709" w:hanging="709"/>
        <w:rPr>
          <w:sz w:val="24"/>
          <w:szCs w:val="24"/>
        </w:rPr>
      </w:pPr>
      <w:r>
        <w:rPr>
          <w:sz w:val="24"/>
          <w:szCs w:val="24"/>
        </w:rPr>
        <w:t>9.1</w:t>
      </w:r>
      <w:r>
        <w:rPr>
          <w:sz w:val="24"/>
          <w:szCs w:val="24"/>
        </w:rPr>
        <w:tab/>
      </w:r>
      <w:r>
        <w:rPr>
          <w:sz w:val="24"/>
          <w:szCs w:val="24"/>
        </w:rPr>
        <w:t>Poor moving and handling practices can cause life changing injuries for both the Service User and the staff member(s) involved.  These include, but are not limited to:</w:t>
      </w:r>
    </w:p>
    <w:p w14:paraId="35858864">
      <w:pPr>
        <w:numPr>
          <w:ilvl w:val="0"/>
          <w:numId w:val="9"/>
        </w:numPr>
        <w:rPr>
          <w:sz w:val="24"/>
          <w:szCs w:val="24"/>
        </w:rPr>
      </w:pPr>
      <w:r>
        <w:rPr>
          <w:sz w:val="24"/>
          <w:szCs w:val="24"/>
        </w:rPr>
        <w:t>Back injury.</w:t>
      </w:r>
    </w:p>
    <w:p w14:paraId="4C987012">
      <w:pPr>
        <w:numPr>
          <w:ilvl w:val="0"/>
          <w:numId w:val="9"/>
        </w:numPr>
        <w:ind w:left="1134" w:hanging="425"/>
        <w:rPr>
          <w:sz w:val="24"/>
          <w:szCs w:val="24"/>
        </w:rPr>
      </w:pPr>
      <w:r>
        <w:rPr>
          <w:sz w:val="24"/>
          <w:szCs w:val="24"/>
        </w:rPr>
        <w:t>Musculoskeletal injuries to limbs and joints.</w:t>
      </w:r>
    </w:p>
    <w:p w14:paraId="180346B9">
      <w:pPr>
        <w:numPr>
          <w:ilvl w:val="0"/>
          <w:numId w:val="9"/>
        </w:numPr>
        <w:rPr>
          <w:sz w:val="24"/>
          <w:szCs w:val="24"/>
        </w:rPr>
      </w:pPr>
      <w:r>
        <w:rPr>
          <w:sz w:val="24"/>
          <w:szCs w:val="24"/>
        </w:rPr>
        <w:t>Skin integrity injuries.</w:t>
      </w:r>
    </w:p>
    <w:p w14:paraId="6DD0A96C">
      <w:pPr>
        <w:numPr>
          <w:ilvl w:val="0"/>
          <w:numId w:val="9"/>
        </w:numPr>
        <w:rPr>
          <w:sz w:val="24"/>
          <w:szCs w:val="24"/>
        </w:rPr>
      </w:pPr>
      <w:r>
        <w:rPr>
          <w:sz w:val="24"/>
          <w:szCs w:val="24"/>
        </w:rPr>
        <w:t>Falls.</w:t>
      </w:r>
    </w:p>
    <w:p w14:paraId="605A801C">
      <w:pPr>
        <w:ind w:left="1069"/>
        <w:rPr>
          <w:sz w:val="24"/>
          <w:szCs w:val="24"/>
        </w:rPr>
      </w:pPr>
    </w:p>
    <w:p w14:paraId="1B35F70D">
      <w:pPr>
        <w:ind w:left="709" w:hanging="709"/>
        <w:rPr>
          <w:sz w:val="24"/>
          <w:szCs w:val="24"/>
        </w:rPr>
      </w:pPr>
      <w:r>
        <w:rPr>
          <w:sz w:val="24"/>
          <w:szCs w:val="24"/>
        </w:rPr>
        <w:t>9.2</w:t>
      </w:r>
      <w:r>
        <w:rPr>
          <w:sz w:val="24"/>
          <w:szCs w:val="24"/>
        </w:rPr>
        <w:tab/>
      </w:r>
      <w:r>
        <w:rPr>
          <w:sz w:val="24"/>
          <w:szCs w:val="24"/>
        </w:rPr>
        <w:t>Poor moving and handling of Service Users can cause catastrophic injuries or death from entrapment or falling.</w:t>
      </w:r>
    </w:p>
    <w:p w14:paraId="1CBE70EE">
      <w:pPr>
        <w:ind w:left="709" w:hanging="709"/>
        <w:rPr>
          <w:sz w:val="24"/>
          <w:szCs w:val="24"/>
        </w:rPr>
      </w:pPr>
    </w:p>
    <w:p w14:paraId="153A525F">
      <w:pPr>
        <w:ind w:left="709" w:hanging="709"/>
        <w:rPr>
          <w:sz w:val="24"/>
          <w:szCs w:val="24"/>
        </w:rPr>
      </w:pPr>
      <w:r>
        <w:rPr>
          <w:sz w:val="24"/>
          <w:szCs w:val="24"/>
        </w:rPr>
        <w:t>9.3</w:t>
      </w:r>
      <w:r>
        <w:rPr>
          <w:sz w:val="24"/>
          <w:szCs w:val="24"/>
        </w:rPr>
        <w:tab/>
      </w:r>
      <w:r>
        <w:rPr>
          <w:sz w:val="24"/>
          <w:szCs w:val="24"/>
        </w:rPr>
        <w:t xml:space="preserve">Moving and handling errors and injuries are reportable to the Service User or their legal representative(s) under the requirements of the duty of candour.  Injuries and near misses may also be reportable to the local authority safeguarding team and the regulatory body and in some cases the police.  </w:t>
      </w:r>
    </w:p>
    <w:p w14:paraId="5E592796">
      <w:pPr>
        <w:ind w:left="709" w:hanging="709"/>
        <w:rPr>
          <w:sz w:val="24"/>
          <w:szCs w:val="24"/>
        </w:rPr>
      </w:pPr>
    </w:p>
    <w:p w14:paraId="6F40D8A0">
      <w:pPr>
        <w:ind w:left="709" w:hanging="709"/>
        <w:rPr>
          <w:sz w:val="24"/>
          <w:szCs w:val="24"/>
        </w:rPr>
      </w:pPr>
      <w:r>
        <w:rPr>
          <w:sz w:val="24"/>
          <w:szCs w:val="24"/>
        </w:rPr>
        <w:t>9.4</w:t>
      </w:r>
      <w:r>
        <w:rPr>
          <w:sz w:val="24"/>
          <w:szCs w:val="24"/>
        </w:rPr>
        <w:tab/>
      </w:r>
      <w:r>
        <w:rPr>
          <w:sz w:val="24"/>
          <w:szCs w:val="24"/>
        </w:rPr>
        <w:t>In extreme cases poor moving and handling technique over time, may lead to chronic injuries which mean the staff member is not able to work.</w:t>
      </w:r>
    </w:p>
    <w:p w14:paraId="2869360C">
      <w:pPr>
        <w:ind w:left="709" w:hanging="709"/>
        <w:rPr>
          <w:sz w:val="24"/>
          <w:szCs w:val="24"/>
        </w:rPr>
      </w:pPr>
    </w:p>
    <w:p w14:paraId="48262804">
      <w:pPr>
        <w:ind w:left="709" w:hanging="709"/>
        <w:rPr>
          <w:sz w:val="24"/>
          <w:szCs w:val="24"/>
        </w:rPr>
      </w:pPr>
      <w:r>
        <w:rPr>
          <w:sz w:val="24"/>
          <w:szCs w:val="24"/>
        </w:rPr>
        <w:t>9.5</w:t>
      </w:r>
      <w:r>
        <w:rPr>
          <w:sz w:val="24"/>
          <w:szCs w:val="24"/>
        </w:rPr>
        <w:tab/>
      </w:r>
      <w:r>
        <w:rPr>
          <w:sz w:val="24"/>
          <w:szCs w:val="24"/>
        </w:rPr>
        <w:t xml:space="preserve">Moving and Handling injuries as they apply to staff are reportable under the Reporting of Injuries, Diseases and Dangerous Occurrences Regulations 2013 (RIDDOR).  Such occurrences must therefore be reported by the manager to the Health and Safety Executive without delay. </w:t>
      </w:r>
    </w:p>
    <w:p w14:paraId="31714477">
      <w:pPr>
        <w:ind w:left="709" w:hanging="709"/>
        <w:rPr>
          <w:b/>
          <w:bCs/>
          <w:sz w:val="24"/>
          <w:szCs w:val="24"/>
        </w:rPr>
      </w:pPr>
    </w:p>
    <w:p w14:paraId="78AA6306">
      <w:pPr>
        <w:ind w:left="720"/>
        <w:rPr>
          <w:i/>
          <w:iCs/>
          <w:sz w:val="24"/>
        </w:rPr>
      </w:pPr>
      <w:bookmarkStart w:id="0" w:name="_GoBack"/>
      <w:bookmarkEnd w:id="0"/>
    </w:p>
    <w:p w14:paraId="22FC3009">
      <w:pPr>
        <w:tabs>
          <w:tab w:val="left" w:pos="720"/>
        </w:tabs>
        <w:ind w:left="720" w:hanging="720"/>
        <w:rPr>
          <w:b/>
          <w:bCs/>
          <w:i/>
          <w:iCs/>
          <w:sz w:val="24"/>
        </w:rPr>
      </w:pPr>
    </w:p>
    <w:p w14:paraId="67F4E9C3">
      <w:pPr>
        <w:ind w:left="1418" w:hanging="709"/>
        <w:rPr>
          <w:b/>
          <w:bCs/>
          <w:sz w:val="24"/>
          <w:szCs w:val="24"/>
        </w:rPr>
      </w:pPr>
      <w:r>
        <w:rPr>
          <w:b/>
          <w:bCs/>
          <w:sz w:val="24"/>
          <w:szCs w:val="24"/>
        </w:rPr>
        <w:t>REFERENCED DOCUMENTS TO BE USED WITH THIS POLICY</w:t>
      </w:r>
    </w:p>
    <w:p w14:paraId="39B8BBBA">
      <w:pPr>
        <w:rPr>
          <w:b/>
          <w:bCs/>
          <w:sz w:val="24"/>
          <w:szCs w:val="24"/>
        </w:rPr>
      </w:pPr>
    </w:p>
    <w:p w14:paraId="7F0698E5">
      <w:pPr>
        <w:ind w:left="851" w:firstLine="3"/>
        <w:rPr>
          <w:b/>
          <w:sz w:val="24"/>
          <w:szCs w:val="24"/>
        </w:rPr>
      </w:pPr>
      <w:r>
        <w:rPr>
          <w:b/>
          <w:bCs/>
          <w:sz w:val="24"/>
          <w:szCs w:val="24"/>
        </w:rPr>
        <w:t>1.</w:t>
      </w:r>
      <w:r>
        <w:rPr>
          <w:b/>
          <w:bCs/>
          <w:sz w:val="24"/>
          <w:szCs w:val="24"/>
        </w:rPr>
        <w:tab/>
      </w:r>
      <w:r>
        <w:rPr>
          <w:b/>
          <w:sz w:val="24"/>
          <w:szCs w:val="24"/>
        </w:rPr>
        <w:t>Other Policies</w:t>
      </w:r>
    </w:p>
    <w:p w14:paraId="3B249096">
      <w:pPr>
        <w:tabs>
          <w:tab w:val="left" w:pos="1418"/>
          <w:tab w:val="left" w:pos="2268"/>
          <w:tab w:val="left" w:pos="2694"/>
        </w:tabs>
        <w:rPr>
          <w:rFonts w:eastAsia="Calibri"/>
          <w:sz w:val="24"/>
          <w:szCs w:val="24"/>
        </w:rPr>
      </w:pPr>
    </w:p>
    <w:p w14:paraId="04CBAD07">
      <w:pPr>
        <w:tabs>
          <w:tab w:val="left" w:pos="1418"/>
          <w:tab w:val="left" w:pos="2268"/>
          <w:tab w:val="left" w:pos="2694"/>
        </w:tabs>
        <w:ind w:left="851" w:firstLine="3"/>
        <w:rPr>
          <w:rFonts w:eastAsia="Calibri"/>
          <w:sz w:val="24"/>
          <w:szCs w:val="24"/>
        </w:rPr>
      </w:pPr>
      <w:r>
        <w:rPr>
          <w:rFonts w:eastAsia="Calibri"/>
          <w:sz w:val="24"/>
          <w:szCs w:val="24"/>
        </w:rPr>
        <w:tab/>
      </w:r>
      <w:r>
        <w:rPr>
          <w:rFonts w:eastAsia="Calibri"/>
          <w:sz w:val="24"/>
          <w:szCs w:val="24"/>
        </w:rPr>
        <w:t>None.</w:t>
      </w:r>
    </w:p>
    <w:p w14:paraId="14B9938D">
      <w:pPr>
        <w:rPr>
          <w:rFonts w:eastAsia="Calibri"/>
          <w:sz w:val="24"/>
          <w:szCs w:val="24"/>
        </w:rPr>
      </w:pPr>
    </w:p>
    <w:p w14:paraId="2E5E4FEE">
      <w:pPr>
        <w:ind w:left="851"/>
        <w:rPr>
          <w:rFonts w:eastAsia="Calibri"/>
          <w:b/>
          <w:bCs/>
          <w:sz w:val="24"/>
          <w:szCs w:val="24"/>
        </w:rPr>
      </w:pPr>
      <w:r>
        <w:rPr>
          <w:rFonts w:eastAsia="Calibri"/>
          <w:b/>
          <w:bCs/>
          <w:sz w:val="24"/>
          <w:szCs w:val="24"/>
        </w:rPr>
        <w:t>2.</w:t>
      </w:r>
      <w:r>
        <w:rPr>
          <w:rFonts w:eastAsia="Calibri"/>
          <w:b/>
          <w:bCs/>
          <w:sz w:val="24"/>
          <w:szCs w:val="24"/>
        </w:rPr>
        <w:tab/>
      </w:r>
      <w:r>
        <w:rPr>
          <w:rFonts w:eastAsia="Calibri"/>
          <w:b/>
          <w:bCs/>
          <w:sz w:val="24"/>
          <w:szCs w:val="24"/>
        </w:rPr>
        <w:t>Procedures</w:t>
      </w:r>
    </w:p>
    <w:p w14:paraId="732D30C7">
      <w:pPr>
        <w:rPr>
          <w:rFonts w:eastAsia="Calibri"/>
          <w:sz w:val="24"/>
          <w:szCs w:val="24"/>
        </w:rPr>
      </w:pPr>
    </w:p>
    <w:p w14:paraId="27B541E6">
      <w:pPr>
        <w:tabs>
          <w:tab w:val="left" w:pos="1418"/>
          <w:tab w:val="left" w:pos="2268"/>
          <w:tab w:val="left" w:pos="2694"/>
        </w:tabs>
        <w:ind w:left="851" w:firstLine="3"/>
        <w:rPr>
          <w:rFonts w:eastAsia="Calibri"/>
          <w:sz w:val="24"/>
          <w:szCs w:val="24"/>
        </w:rPr>
      </w:pPr>
      <w:r>
        <w:rPr>
          <w:rFonts w:eastAsia="Calibri"/>
          <w:b/>
          <w:bCs/>
          <w:sz w:val="24"/>
          <w:szCs w:val="24"/>
        </w:rPr>
        <w:tab/>
      </w:r>
      <w:r>
        <w:rPr>
          <w:rFonts w:eastAsia="Calibri"/>
          <w:sz w:val="24"/>
          <w:szCs w:val="24"/>
        </w:rPr>
        <w:t>None.</w:t>
      </w:r>
    </w:p>
    <w:p w14:paraId="6FADD4EA">
      <w:pPr>
        <w:rPr>
          <w:rFonts w:eastAsia="Calibri"/>
          <w:sz w:val="24"/>
          <w:szCs w:val="24"/>
        </w:rPr>
      </w:pPr>
    </w:p>
    <w:p w14:paraId="7ACE1655">
      <w:pPr>
        <w:ind w:left="851" w:firstLine="3"/>
        <w:rPr>
          <w:b/>
          <w:sz w:val="24"/>
          <w:szCs w:val="24"/>
        </w:rPr>
      </w:pPr>
      <w:r>
        <w:rPr>
          <w:rFonts w:eastAsia="Calibri"/>
          <w:b/>
          <w:bCs/>
          <w:sz w:val="24"/>
          <w:szCs w:val="24"/>
        </w:rPr>
        <w:t>3.</w:t>
      </w:r>
      <w:r>
        <w:rPr>
          <w:rFonts w:eastAsia="Calibri"/>
          <w:sz w:val="24"/>
          <w:szCs w:val="24"/>
        </w:rPr>
        <w:tab/>
      </w:r>
      <w:r>
        <w:rPr>
          <w:b/>
          <w:sz w:val="24"/>
          <w:szCs w:val="24"/>
        </w:rPr>
        <w:t>Forms &amp; Logs</w:t>
      </w:r>
    </w:p>
    <w:p w14:paraId="4F3BA880">
      <w:pPr>
        <w:rPr>
          <w:bCs/>
          <w:sz w:val="24"/>
          <w:szCs w:val="24"/>
        </w:rPr>
      </w:pPr>
    </w:p>
    <w:p w14:paraId="3EBC0673">
      <w:pPr>
        <w:tabs>
          <w:tab w:val="left" w:pos="2410"/>
        </w:tabs>
        <w:ind w:left="1418" w:hanging="567"/>
        <w:rPr>
          <w:sz w:val="24"/>
          <w:szCs w:val="24"/>
        </w:rPr>
      </w:pPr>
      <w:r>
        <w:rPr>
          <w:sz w:val="24"/>
          <w:szCs w:val="24"/>
        </w:rPr>
        <w:tab/>
      </w:r>
      <w:r>
        <w:fldChar w:fldCharType="begin"/>
      </w:r>
      <w:r>
        <w:instrText xml:space="preserve"> HYPERLINK "https://c8online.com/projects/5689-cared4-document-system/folders/221631-3-1-forms?selected_document_id=1569997" </w:instrText>
      </w:r>
      <w:r>
        <w:fldChar w:fldCharType="separate"/>
      </w:r>
      <w:r>
        <w:rPr>
          <w:rStyle w:val="16"/>
          <w:sz w:val="24"/>
          <w:szCs w:val="24"/>
        </w:rPr>
        <w:t>DC-047 Risk Assessment Form- Moving and Handling</w:t>
      </w:r>
      <w:r>
        <w:rPr>
          <w:rStyle w:val="16"/>
          <w:sz w:val="24"/>
          <w:szCs w:val="24"/>
        </w:rPr>
        <w:fldChar w:fldCharType="end"/>
      </w:r>
      <w:r>
        <w:rPr>
          <w:sz w:val="24"/>
          <w:szCs w:val="24"/>
        </w:rPr>
        <w:t>.</w:t>
      </w:r>
    </w:p>
    <w:p w14:paraId="3EE6F2A9">
      <w:pPr>
        <w:tabs>
          <w:tab w:val="left" w:pos="2410"/>
        </w:tabs>
        <w:ind w:left="1418" w:hanging="567"/>
        <w:rPr>
          <w:sz w:val="24"/>
          <w:szCs w:val="24"/>
        </w:rPr>
      </w:pPr>
      <w:r>
        <w:rPr>
          <w:sz w:val="24"/>
          <w:szCs w:val="24"/>
        </w:rPr>
        <w:tab/>
      </w:r>
      <w:r>
        <w:fldChar w:fldCharType="begin"/>
      </w:r>
      <w:r>
        <w:instrText xml:space="preserve"> HYPERLINK "https://c8online.com/projects/5689-cared4-document-system/folders/221631-3-1-forms?selected_document_id=1570025" </w:instrText>
      </w:r>
      <w:r>
        <w:fldChar w:fldCharType="separate"/>
      </w:r>
      <w:r>
        <w:rPr>
          <w:rStyle w:val="16"/>
          <w:sz w:val="24"/>
        </w:rPr>
        <w:t>DC-054 Service User Person-Centred Care Plan</w:t>
      </w:r>
      <w:r>
        <w:rPr>
          <w:rStyle w:val="16"/>
          <w:sz w:val="24"/>
        </w:rPr>
        <w:fldChar w:fldCharType="end"/>
      </w:r>
      <w:r>
        <w:rPr>
          <w:sz w:val="24"/>
        </w:rPr>
        <w:t>.</w:t>
      </w:r>
    </w:p>
    <w:p w14:paraId="414FED4C">
      <w:pPr>
        <w:tabs>
          <w:tab w:val="left" w:pos="2410"/>
        </w:tabs>
        <w:ind w:left="1418" w:hanging="567"/>
        <w:rPr>
          <w:sz w:val="24"/>
          <w:szCs w:val="24"/>
        </w:rPr>
      </w:pPr>
      <w:r>
        <w:rPr>
          <w:sz w:val="24"/>
          <w:szCs w:val="24"/>
        </w:rPr>
        <w:tab/>
      </w:r>
      <w:r>
        <w:fldChar w:fldCharType="begin"/>
      </w:r>
      <w:r>
        <w:instrText xml:space="preserve"> HYPERLINK "https://c8online.com/projects/5689-cared4-document-system/folders/221631-3-1-forms?selected_document_id=1570089" </w:instrText>
      </w:r>
      <w:r>
        <w:fldChar w:fldCharType="separate"/>
      </w:r>
      <w:r>
        <w:rPr>
          <w:rStyle w:val="16"/>
          <w:sz w:val="24"/>
          <w:szCs w:val="24"/>
        </w:rPr>
        <w:t>DC-073A Falls Risk Assessment Form</w:t>
      </w:r>
      <w:r>
        <w:rPr>
          <w:rStyle w:val="16"/>
          <w:sz w:val="24"/>
          <w:szCs w:val="24"/>
        </w:rPr>
        <w:fldChar w:fldCharType="end"/>
      </w:r>
      <w:r>
        <w:rPr>
          <w:sz w:val="24"/>
          <w:szCs w:val="24"/>
        </w:rPr>
        <w:t>.</w:t>
      </w:r>
    </w:p>
    <w:p w14:paraId="4E503C59">
      <w:pPr>
        <w:ind w:left="1134" w:firstLine="28"/>
        <w:rPr>
          <w:sz w:val="24"/>
          <w:szCs w:val="24"/>
        </w:rPr>
      </w:pPr>
      <w:r>
        <w:rPr>
          <w:sz w:val="24"/>
          <w:szCs w:val="24"/>
        </w:rPr>
        <w:tab/>
      </w:r>
      <w:r>
        <w:fldChar w:fldCharType="begin"/>
      </w:r>
      <w:r>
        <w:instrText xml:space="preserve"> HYPERLINK "https://c8online.com/projects/5689-cared4-document-system/folders/221631-3-1-forms?selected_document_id=1570095" </w:instrText>
      </w:r>
      <w:r>
        <w:fldChar w:fldCharType="separate"/>
      </w:r>
      <w:r>
        <w:rPr>
          <w:rStyle w:val="16"/>
          <w:sz w:val="24"/>
          <w:szCs w:val="24"/>
        </w:rPr>
        <w:t>DC-074 Monthly Monitoring of Service User Falls</w:t>
      </w:r>
      <w:r>
        <w:rPr>
          <w:rStyle w:val="16"/>
          <w:sz w:val="24"/>
          <w:szCs w:val="24"/>
        </w:rPr>
        <w:fldChar w:fldCharType="end"/>
      </w:r>
      <w:r>
        <w:rPr>
          <w:sz w:val="24"/>
          <w:szCs w:val="24"/>
        </w:rPr>
        <w:t>.</w:t>
      </w:r>
    </w:p>
    <w:p w14:paraId="6AA8C05D">
      <w:pPr>
        <w:ind w:left="851" w:firstLine="3"/>
        <w:rPr>
          <w:b/>
          <w:sz w:val="24"/>
          <w:szCs w:val="24"/>
        </w:rPr>
      </w:pPr>
    </w:p>
    <w:p w14:paraId="7728029D">
      <w:pPr>
        <w:ind w:left="851" w:firstLine="3"/>
        <w:rPr>
          <w:b/>
          <w:sz w:val="24"/>
          <w:szCs w:val="24"/>
        </w:rPr>
      </w:pPr>
      <w:r>
        <w:rPr>
          <w:b/>
          <w:sz w:val="24"/>
          <w:szCs w:val="24"/>
        </w:rPr>
        <w:t>4.</w:t>
      </w:r>
      <w:r>
        <w:rPr>
          <w:b/>
          <w:sz w:val="24"/>
          <w:szCs w:val="24"/>
        </w:rPr>
        <w:tab/>
      </w:r>
      <w:r>
        <w:rPr>
          <w:b/>
          <w:sz w:val="24"/>
          <w:szCs w:val="24"/>
        </w:rPr>
        <w:t>Files &amp; Books</w:t>
      </w:r>
    </w:p>
    <w:p w14:paraId="54F92A89">
      <w:pPr>
        <w:tabs>
          <w:tab w:val="left" w:pos="1418"/>
          <w:tab w:val="left" w:pos="2268"/>
          <w:tab w:val="left" w:pos="2694"/>
        </w:tabs>
        <w:rPr>
          <w:bCs/>
          <w:sz w:val="24"/>
          <w:szCs w:val="24"/>
        </w:rPr>
      </w:pPr>
    </w:p>
    <w:p w14:paraId="75E19A04">
      <w:pPr>
        <w:tabs>
          <w:tab w:val="left" w:pos="1418"/>
          <w:tab w:val="left" w:pos="2268"/>
          <w:tab w:val="left" w:pos="2694"/>
        </w:tabs>
        <w:ind w:left="851" w:firstLine="3"/>
        <w:rPr>
          <w:rFonts w:eastAsia="Calibri"/>
          <w:sz w:val="24"/>
          <w:szCs w:val="24"/>
        </w:rPr>
      </w:pPr>
      <w:r>
        <w:rPr>
          <w:rFonts w:eastAsia="Calibri"/>
          <w:sz w:val="24"/>
          <w:szCs w:val="24"/>
        </w:rPr>
        <w:tab/>
      </w:r>
      <w:r>
        <w:rPr>
          <w:rFonts w:eastAsia="Calibri"/>
          <w:sz w:val="24"/>
          <w:szCs w:val="24"/>
        </w:rPr>
        <w:t>None.</w:t>
      </w:r>
    </w:p>
    <w:p w14:paraId="6ADE79E5">
      <w:pPr>
        <w:tabs>
          <w:tab w:val="left" w:pos="1418"/>
          <w:tab w:val="left" w:pos="2268"/>
          <w:tab w:val="left" w:pos="2694"/>
        </w:tabs>
        <w:ind w:left="851" w:firstLine="3"/>
        <w:rPr>
          <w:rFonts w:eastAsia="Calibri"/>
          <w:sz w:val="24"/>
          <w:szCs w:val="24"/>
        </w:rPr>
      </w:pPr>
    </w:p>
    <w:p w14:paraId="1402A98E">
      <w:pPr>
        <w:ind w:left="851" w:firstLine="3"/>
        <w:rPr>
          <w:bCs/>
          <w:sz w:val="24"/>
          <w:szCs w:val="24"/>
        </w:rPr>
      </w:pPr>
      <w:r>
        <w:rPr>
          <w:b/>
          <w:sz w:val="24"/>
          <w:szCs w:val="24"/>
        </w:rPr>
        <w:t>5.</w:t>
      </w:r>
      <w:r>
        <w:rPr>
          <w:b/>
          <w:sz w:val="24"/>
          <w:szCs w:val="24"/>
        </w:rPr>
        <w:tab/>
      </w:r>
      <w:r>
        <w:rPr>
          <w:b/>
          <w:sz w:val="24"/>
          <w:szCs w:val="24"/>
        </w:rPr>
        <w:t>Legislation, Standards and Guidance</w:t>
      </w:r>
    </w:p>
    <w:p w14:paraId="452F72A5">
      <w:pPr>
        <w:ind w:left="851" w:firstLine="3"/>
        <w:rPr>
          <w:sz w:val="24"/>
          <w:szCs w:val="24"/>
        </w:rPr>
      </w:pPr>
      <w:r>
        <w:rPr>
          <w:b/>
          <w:sz w:val="24"/>
          <w:szCs w:val="24"/>
        </w:rPr>
        <w:tab/>
      </w:r>
    </w:p>
    <w:p w14:paraId="236F58B6">
      <w:pPr>
        <w:pStyle w:val="8"/>
        <w:ind w:left="705"/>
      </w:pPr>
      <w:r>
        <w:tab/>
      </w:r>
      <w:r>
        <w:tab/>
      </w:r>
      <w:r>
        <w:t xml:space="preserve">Manual Handling Operation Regulations 1992, as amended by the Health </w:t>
      </w:r>
      <w:r>
        <w:tab/>
      </w:r>
      <w:r>
        <w:tab/>
      </w:r>
      <w:r>
        <w:tab/>
      </w:r>
      <w:r>
        <w:t>and Safety (Miscellaneous Amendments) Regulations 2002.</w:t>
      </w:r>
    </w:p>
    <w:p w14:paraId="4C92B32D">
      <w:pPr>
        <w:pStyle w:val="8"/>
        <w:ind w:left="705"/>
      </w:pPr>
      <w:r>
        <w:tab/>
      </w:r>
      <w:r>
        <w:tab/>
      </w:r>
      <w:r>
        <w:t xml:space="preserve">Health and Safety at Work etc Act 1974. </w:t>
      </w:r>
    </w:p>
    <w:p w14:paraId="2B1CBE89">
      <w:pPr>
        <w:pStyle w:val="8"/>
        <w:ind w:left="705"/>
      </w:pPr>
      <w:r>
        <w:tab/>
      </w:r>
      <w:r>
        <w:tab/>
      </w:r>
      <w:r>
        <w:t>Lifting Operations and Lifting Equipment Regulations 1998 (LOLER).</w:t>
      </w:r>
      <w:r>
        <w:tab/>
      </w:r>
      <w:r>
        <w:tab/>
      </w:r>
      <w:r>
        <w:tab/>
      </w:r>
      <w:r>
        <w:t>Provision and Use of Work Equipment Regulations 1998 (PUWER).</w:t>
      </w:r>
    </w:p>
    <w:p w14:paraId="2B7B367C">
      <w:pPr>
        <w:pStyle w:val="8"/>
        <w:ind w:left="705"/>
      </w:pPr>
      <w:r>
        <w:tab/>
      </w:r>
      <w:r>
        <w:tab/>
      </w:r>
      <w:r>
        <w:rPr>
          <w:szCs w:val="24"/>
        </w:rPr>
        <w:t>Diseases and Dangerous Occurrences Regulations 2013 (RIDDOR).</w:t>
      </w:r>
    </w:p>
    <w:p w14:paraId="5AECE179">
      <w:pPr>
        <w:ind w:left="851" w:firstLine="3"/>
        <w:rPr>
          <w:sz w:val="24"/>
          <w:szCs w:val="24"/>
        </w:rPr>
      </w:pPr>
    </w:p>
    <w:p w14:paraId="2F68AEF6">
      <w:pPr>
        <w:tabs>
          <w:tab w:val="left" w:pos="720"/>
        </w:tabs>
        <w:ind w:left="720" w:hanging="720"/>
        <w:rPr>
          <w:b/>
          <w:bCs/>
          <w:i/>
          <w:iCs/>
          <w:sz w:val="24"/>
        </w:rPr>
      </w:pPr>
    </w:p>
    <w:p w14:paraId="715995BB">
      <w:pPr>
        <w:tabs>
          <w:tab w:val="left" w:pos="720"/>
        </w:tabs>
        <w:ind w:left="720" w:hanging="720"/>
        <w:rPr>
          <w:b/>
          <w:bCs/>
          <w:i/>
          <w:iCs/>
          <w:sz w:val="24"/>
        </w:rPr>
      </w:pPr>
    </w:p>
    <w:p w14:paraId="55F66105">
      <w:pPr>
        <w:tabs>
          <w:tab w:val="left" w:pos="720"/>
        </w:tabs>
        <w:ind w:left="720" w:hanging="720"/>
        <w:rPr>
          <w:i/>
          <w:iCs/>
          <w:sz w:val="24"/>
          <w:szCs w:val="24"/>
        </w:rPr>
      </w:pPr>
      <w:r>
        <w:rPr>
          <w:b/>
          <w:bCs/>
          <w:i/>
          <w:iCs/>
          <w:sz w:val="24"/>
        </w:rPr>
        <w:t>NB</w:t>
      </w:r>
      <w:r>
        <w:rPr>
          <w:b/>
          <w:bCs/>
          <w:i/>
          <w:iCs/>
          <w:sz w:val="24"/>
        </w:rPr>
        <w:tab/>
      </w:r>
      <w:r>
        <w:rPr>
          <w:b/>
          <w:bCs/>
          <w:i/>
          <w:iCs/>
          <w:sz w:val="24"/>
        </w:rPr>
        <w:t>This policy is to be used in conjunction with the Service’s existing policy. Because the circumstances in a Service may vary, the Manager should ensure that this policy is appropriate to the needs of the Service, before approving it.</w:t>
      </w:r>
    </w:p>
    <w:sectPr>
      <w:headerReference r:id="rId5" w:type="first"/>
      <w:footerReference r:id="rId8" w:type="first"/>
      <w:headerReference r:id="rId3" w:type="default"/>
      <w:footerReference r:id="rId6" w:type="default"/>
      <w:headerReference r:id="rId4" w:type="even"/>
      <w:footerReference r:id="rId7" w:type="even"/>
      <w:pgSz w:w="11906" w:h="16838"/>
      <w:pgMar w:top="1134" w:right="1440" w:bottom="1134" w:left="1797" w:header="737" w:footer="73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5EAC9">
    <w:pPr>
      <w:pStyle w:val="14"/>
    </w:pPr>
    <w:r>
      <w:t>Issue No: 1  Rev: 1     Issue Date: 01/01/25</w:t>
    </w:r>
    <w:r>
      <w:tab/>
    </w:r>
    <w:r>
      <w:tab/>
    </w:r>
  </w:p>
  <w:p w14:paraId="272D1EC0">
    <w:pPr>
      <w:pStyle w:val="14"/>
    </w:pPr>
    <w:r>
      <w:tab/>
    </w:r>
    <w:r>
      <w:tab/>
    </w:r>
    <w:r>
      <w:t xml:space="preserve">Page </w:t>
    </w:r>
    <w:r>
      <w:fldChar w:fldCharType="begin"/>
    </w:r>
    <w:r>
      <w:instrText xml:space="preserve"> PAGE   \* MERGEFORMAT </w:instrText>
    </w:r>
    <w:r>
      <w:fldChar w:fldCharType="separate"/>
    </w:r>
    <w:r>
      <w:t>1</w:t>
    </w:r>
    <w:r>
      <w:fldChar w:fldCharType="end"/>
    </w:r>
    <w:r>
      <w:t xml:space="preserve"> of 8</w:t>
    </w:r>
  </w:p>
  <w:p w14:paraId="09017DCD">
    <w:pPr>
      <w:pStyle w:val="14"/>
      <w:jc w:val="center"/>
      <w:rPr>
        <w:sz w:val="18"/>
        <w:szCs w:val="18"/>
      </w:rPr>
    </w:pPr>
    <w:r>
      <w:t xml:space="preserve">© Bettal Quality Consultancy - Domiciliary Care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0828C">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81DCC">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A5649">
    <w:pPr>
      <w:pStyle w:val="15"/>
      <w:jc w:val="center"/>
    </w:pPr>
    <w:r>
      <w:rPr>
        <w:b/>
        <w:caps/>
        <w:sz w:val="36"/>
      </w:rPr>
      <w:t>FAIRPLACECARE LIMITED</w:t>
    </w:r>
  </w:p>
  <w:p w14:paraId="598AC2AA">
    <w:pPr>
      <w:pStyle w:val="15"/>
      <w:jc w:val="center"/>
      <w:rPr>
        <w:b/>
        <w:bCs/>
        <w:sz w:val="36"/>
      </w:rPr>
    </w:pPr>
  </w:p>
  <w:p w14:paraId="3B5AC714">
    <w:pPr>
      <w:pStyle w:val="15"/>
      <w:tabs>
        <w:tab w:val="right" w:pos="8789"/>
        <w:tab w:val="clear" w:pos="8640"/>
      </w:tabs>
      <w:rPr>
        <w:b/>
        <w:bCs/>
        <w:sz w:val="36"/>
      </w:rPr>
    </w:pPr>
    <w:r>
      <w:rPr>
        <w:b/>
        <w:bCs/>
        <w:sz w:val="36"/>
      </w:rPr>
      <w:tab/>
    </w:r>
    <w:r>
      <w:rPr>
        <w:b/>
        <w:bCs/>
        <w:sz w:val="36"/>
      </w:rPr>
      <w:t>QUALITY POLICY STATEMENT</w:t>
    </w:r>
    <w:r>
      <w:rPr>
        <w:b/>
        <w:bCs/>
        <w:sz w:val="36"/>
      </w:rPr>
      <w:tab/>
    </w:r>
    <w:r>
      <w:rPr>
        <w:b/>
        <w:bCs/>
        <w:sz w:val="36"/>
      </w:rPr>
      <w:t>QP-08</w:t>
    </w:r>
  </w:p>
  <w:p w14:paraId="24942382">
    <w:pPr>
      <w:pStyle w:val="15"/>
      <w:jc w:val="center"/>
      <w:rPr>
        <w:b/>
        <w:bCs/>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A9DCF">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2B77B">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703463"/>
    <w:multiLevelType w:val="multilevel"/>
    <w:tmpl w:val="14703463"/>
    <w:lvl w:ilvl="0" w:tentative="0">
      <w:start w:val="1"/>
      <w:numFmt w:val="bullet"/>
      <w:lvlText w:val=""/>
      <w:lvlJc w:val="left"/>
      <w:pPr>
        <w:ind w:left="1800" w:hanging="360"/>
      </w:pPr>
      <w:rPr>
        <w:rFonts w:hint="default" w:ascii="Symbol" w:hAnsi="Symbol"/>
        <w:sz w:val="20"/>
        <w:szCs w:val="20"/>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1">
    <w:nsid w:val="159D6F14"/>
    <w:multiLevelType w:val="multilevel"/>
    <w:tmpl w:val="159D6F14"/>
    <w:lvl w:ilvl="0" w:tentative="0">
      <w:start w:val="1"/>
      <w:numFmt w:val="bullet"/>
      <w:lvlText w:val=""/>
      <w:lvlJc w:val="left"/>
      <w:pPr>
        <w:ind w:left="1069" w:hanging="360"/>
      </w:pPr>
      <w:rPr>
        <w:rFonts w:hint="default" w:ascii="Symbol" w:hAnsi="Symbol"/>
        <w:sz w:val="20"/>
        <w:szCs w:val="20"/>
      </w:rPr>
    </w:lvl>
    <w:lvl w:ilvl="1" w:tentative="0">
      <w:start w:val="1"/>
      <w:numFmt w:val="bullet"/>
      <w:lvlText w:val="o"/>
      <w:lvlJc w:val="left"/>
      <w:pPr>
        <w:ind w:left="1789" w:hanging="360"/>
      </w:pPr>
      <w:rPr>
        <w:rFonts w:hint="default" w:ascii="Courier New" w:hAnsi="Courier New" w:cs="Courier New"/>
      </w:rPr>
    </w:lvl>
    <w:lvl w:ilvl="2" w:tentative="0">
      <w:start w:val="1"/>
      <w:numFmt w:val="bullet"/>
      <w:lvlText w:val=""/>
      <w:lvlJc w:val="left"/>
      <w:pPr>
        <w:ind w:left="2509" w:hanging="360"/>
      </w:pPr>
      <w:rPr>
        <w:rFonts w:hint="default" w:ascii="Wingdings" w:hAnsi="Wingdings"/>
      </w:rPr>
    </w:lvl>
    <w:lvl w:ilvl="3" w:tentative="0">
      <w:start w:val="1"/>
      <w:numFmt w:val="bullet"/>
      <w:lvlText w:val=""/>
      <w:lvlJc w:val="left"/>
      <w:pPr>
        <w:ind w:left="3229" w:hanging="360"/>
      </w:pPr>
      <w:rPr>
        <w:rFonts w:hint="default" w:ascii="Symbol" w:hAnsi="Symbol"/>
      </w:rPr>
    </w:lvl>
    <w:lvl w:ilvl="4" w:tentative="0">
      <w:start w:val="1"/>
      <w:numFmt w:val="bullet"/>
      <w:lvlText w:val="o"/>
      <w:lvlJc w:val="left"/>
      <w:pPr>
        <w:ind w:left="3949" w:hanging="360"/>
      </w:pPr>
      <w:rPr>
        <w:rFonts w:hint="default" w:ascii="Courier New" w:hAnsi="Courier New" w:cs="Courier New"/>
      </w:rPr>
    </w:lvl>
    <w:lvl w:ilvl="5" w:tentative="0">
      <w:start w:val="1"/>
      <w:numFmt w:val="bullet"/>
      <w:lvlText w:val=""/>
      <w:lvlJc w:val="left"/>
      <w:pPr>
        <w:ind w:left="4669" w:hanging="360"/>
      </w:pPr>
      <w:rPr>
        <w:rFonts w:hint="default" w:ascii="Wingdings" w:hAnsi="Wingdings"/>
      </w:rPr>
    </w:lvl>
    <w:lvl w:ilvl="6" w:tentative="0">
      <w:start w:val="1"/>
      <w:numFmt w:val="bullet"/>
      <w:lvlText w:val=""/>
      <w:lvlJc w:val="left"/>
      <w:pPr>
        <w:ind w:left="5389" w:hanging="360"/>
      </w:pPr>
      <w:rPr>
        <w:rFonts w:hint="default" w:ascii="Symbol" w:hAnsi="Symbol"/>
      </w:rPr>
    </w:lvl>
    <w:lvl w:ilvl="7" w:tentative="0">
      <w:start w:val="1"/>
      <w:numFmt w:val="bullet"/>
      <w:lvlText w:val="o"/>
      <w:lvlJc w:val="left"/>
      <w:pPr>
        <w:ind w:left="6109" w:hanging="360"/>
      </w:pPr>
      <w:rPr>
        <w:rFonts w:hint="default" w:ascii="Courier New" w:hAnsi="Courier New" w:cs="Courier New"/>
      </w:rPr>
    </w:lvl>
    <w:lvl w:ilvl="8" w:tentative="0">
      <w:start w:val="1"/>
      <w:numFmt w:val="bullet"/>
      <w:lvlText w:val=""/>
      <w:lvlJc w:val="left"/>
      <w:pPr>
        <w:ind w:left="6829" w:hanging="360"/>
      </w:pPr>
      <w:rPr>
        <w:rFonts w:hint="default" w:ascii="Wingdings" w:hAnsi="Wingdings"/>
      </w:rPr>
    </w:lvl>
  </w:abstractNum>
  <w:abstractNum w:abstractNumId="2">
    <w:nsid w:val="2ECA2C74"/>
    <w:multiLevelType w:val="multilevel"/>
    <w:tmpl w:val="2ECA2C74"/>
    <w:lvl w:ilvl="0" w:tentative="0">
      <w:start w:val="1"/>
      <w:numFmt w:val="bullet"/>
      <w:lvlText w:val=""/>
      <w:lvlJc w:val="left"/>
      <w:pPr>
        <w:ind w:left="1080" w:hanging="360"/>
      </w:pPr>
      <w:rPr>
        <w:rFonts w:hint="default" w:ascii="Symbol" w:hAnsi="Symbol"/>
        <w:sz w:val="20"/>
        <w:szCs w:val="20"/>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3">
    <w:nsid w:val="3E325406"/>
    <w:multiLevelType w:val="multilevel"/>
    <w:tmpl w:val="3E325406"/>
    <w:lvl w:ilvl="0" w:tentative="0">
      <w:start w:val="1"/>
      <w:numFmt w:val="decimal"/>
      <w:lvlText w:val="%1"/>
      <w:lvlJc w:val="left"/>
      <w:pPr>
        <w:ind w:left="705" w:hanging="705"/>
      </w:pPr>
      <w:rPr>
        <w:rFonts w:hint="default"/>
      </w:rPr>
    </w:lvl>
    <w:lvl w:ilvl="1" w:tentative="0">
      <w:start w:val="1"/>
      <w:numFmt w:val="decimal"/>
      <w:lvlText w:val="%1.%2"/>
      <w:lvlJc w:val="left"/>
      <w:pPr>
        <w:ind w:left="705" w:hanging="70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4">
    <w:nsid w:val="4E351402"/>
    <w:multiLevelType w:val="multilevel"/>
    <w:tmpl w:val="4E351402"/>
    <w:lvl w:ilvl="0" w:tentative="0">
      <w:start w:val="1"/>
      <w:numFmt w:val="bullet"/>
      <w:lvlText w:val=""/>
      <w:lvlJc w:val="left"/>
      <w:pPr>
        <w:ind w:left="720" w:hanging="360"/>
      </w:pPr>
      <w:rPr>
        <w:rFonts w:hint="default" w:ascii="Symbol" w:hAnsi="Symbol"/>
        <w:sz w:val="20"/>
        <w:szCs w:val="20"/>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5B7D12E6"/>
    <w:multiLevelType w:val="multilevel"/>
    <w:tmpl w:val="5B7D12E6"/>
    <w:lvl w:ilvl="0" w:tentative="0">
      <w:start w:val="1"/>
      <w:numFmt w:val="bullet"/>
      <w:lvlText w:val=""/>
      <w:lvlJc w:val="left"/>
      <w:pPr>
        <w:ind w:left="1080" w:hanging="360"/>
      </w:pPr>
      <w:rPr>
        <w:rFonts w:hint="default" w:ascii="Symbol" w:hAnsi="Symbol"/>
        <w:sz w:val="20"/>
        <w:szCs w:val="20"/>
      </w:rPr>
    </w:lvl>
    <w:lvl w:ilvl="1" w:tentative="0">
      <w:start w:val="0"/>
      <w:numFmt w:val="bullet"/>
      <w:lvlText w:val="•"/>
      <w:lvlJc w:val="left"/>
      <w:pPr>
        <w:ind w:left="2160" w:hanging="720"/>
      </w:pPr>
      <w:rPr>
        <w:rFonts w:hint="default" w:ascii="Times New Roman" w:hAnsi="Times New Roman" w:eastAsia="Times New Roman" w:cs="Times New Roman"/>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6">
    <w:nsid w:val="6B7E0D43"/>
    <w:multiLevelType w:val="multilevel"/>
    <w:tmpl w:val="6B7E0D43"/>
    <w:lvl w:ilvl="0" w:tentative="0">
      <w:start w:val="1"/>
      <w:numFmt w:val="bullet"/>
      <w:lvlText w:val=""/>
      <w:lvlJc w:val="left"/>
      <w:pPr>
        <w:ind w:left="1080" w:hanging="360"/>
      </w:pPr>
      <w:rPr>
        <w:rFonts w:hint="default" w:ascii="Symbol" w:hAnsi="Symbol"/>
        <w:sz w:val="20"/>
        <w:szCs w:val="20"/>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7">
    <w:nsid w:val="74D13B87"/>
    <w:multiLevelType w:val="multilevel"/>
    <w:tmpl w:val="74D13B87"/>
    <w:lvl w:ilvl="0" w:tentative="0">
      <w:start w:val="1"/>
      <w:numFmt w:val="bullet"/>
      <w:lvlText w:val=""/>
      <w:lvlJc w:val="left"/>
      <w:pPr>
        <w:ind w:left="1080" w:hanging="360"/>
      </w:pPr>
      <w:rPr>
        <w:rFonts w:hint="default" w:ascii="Symbol" w:hAnsi="Symbol"/>
        <w:sz w:val="20"/>
        <w:szCs w:val="20"/>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8">
    <w:nsid w:val="77E27270"/>
    <w:multiLevelType w:val="multilevel"/>
    <w:tmpl w:val="77E27270"/>
    <w:lvl w:ilvl="0" w:tentative="0">
      <w:start w:val="1"/>
      <w:numFmt w:val="bullet"/>
      <w:lvlText w:val=""/>
      <w:lvlJc w:val="left"/>
      <w:pPr>
        <w:ind w:left="1080" w:hanging="360"/>
      </w:pPr>
      <w:rPr>
        <w:rFonts w:hint="default" w:ascii="Symbol" w:hAnsi="Symbol"/>
      </w:rPr>
    </w:lvl>
    <w:lvl w:ilvl="1" w:tentative="0">
      <w:start w:val="1"/>
      <w:numFmt w:val="bullet"/>
      <w:lvlText w:val=""/>
      <w:lvlJc w:val="left"/>
      <w:pPr>
        <w:ind w:left="1080" w:hanging="360"/>
      </w:pPr>
      <w:rPr>
        <w:rFonts w:hint="default" w:ascii="Symbol" w:hAnsi="Symbol"/>
        <w:sz w:val="20"/>
        <w:szCs w:val="20"/>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num w:numId="1">
    <w:abstractNumId w:val="3"/>
  </w:num>
  <w:num w:numId="2">
    <w:abstractNumId w:val="2"/>
  </w:num>
  <w:num w:numId="3">
    <w:abstractNumId w:val="5"/>
  </w:num>
  <w:num w:numId="4">
    <w:abstractNumId w:val="7"/>
  </w:num>
  <w:num w:numId="5">
    <w:abstractNumId w:val="6"/>
  </w:num>
  <w:num w:numId="6">
    <w:abstractNumId w:val="8"/>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mirrorMargins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isplayHorizontalDrawingGridEvery w:val="0"/>
  <w:displayVerticalDrawingGridEvery w:val="0"/>
  <w:doNotUseMarginsForDrawingGridOrigin w:val="1"/>
  <w:drawingGridHorizontalOrigin w:val="1800"/>
  <w:drawingGridVerticalOrigin w:val="1440"/>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0DB"/>
    <w:rsid w:val="0005075E"/>
    <w:rsid w:val="0006239C"/>
    <w:rsid w:val="000640C5"/>
    <w:rsid w:val="00071D12"/>
    <w:rsid w:val="000727F1"/>
    <w:rsid w:val="00072F4E"/>
    <w:rsid w:val="00087CB2"/>
    <w:rsid w:val="0009009B"/>
    <w:rsid w:val="000A106A"/>
    <w:rsid w:val="000A2042"/>
    <w:rsid w:val="000B2261"/>
    <w:rsid w:val="000C0D11"/>
    <w:rsid w:val="000C61C9"/>
    <w:rsid w:val="000C762F"/>
    <w:rsid w:val="00111C86"/>
    <w:rsid w:val="0014539F"/>
    <w:rsid w:val="0014700C"/>
    <w:rsid w:val="00147678"/>
    <w:rsid w:val="00153C36"/>
    <w:rsid w:val="00164017"/>
    <w:rsid w:val="00165518"/>
    <w:rsid w:val="00165ED7"/>
    <w:rsid w:val="0017548C"/>
    <w:rsid w:val="00185E1D"/>
    <w:rsid w:val="00197478"/>
    <w:rsid w:val="001A1E92"/>
    <w:rsid w:val="001A72E0"/>
    <w:rsid w:val="001D1E9A"/>
    <w:rsid w:val="001F643F"/>
    <w:rsid w:val="002049F6"/>
    <w:rsid w:val="0020766D"/>
    <w:rsid w:val="0022123A"/>
    <w:rsid w:val="00225B27"/>
    <w:rsid w:val="00245454"/>
    <w:rsid w:val="00262A24"/>
    <w:rsid w:val="00265B29"/>
    <w:rsid w:val="002A356E"/>
    <w:rsid w:val="002C4FE3"/>
    <w:rsid w:val="002E035A"/>
    <w:rsid w:val="002E1CC8"/>
    <w:rsid w:val="002E5642"/>
    <w:rsid w:val="002E78F5"/>
    <w:rsid w:val="002F0CC1"/>
    <w:rsid w:val="0030087B"/>
    <w:rsid w:val="00301925"/>
    <w:rsid w:val="00320C98"/>
    <w:rsid w:val="00346969"/>
    <w:rsid w:val="00354935"/>
    <w:rsid w:val="00360B05"/>
    <w:rsid w:val="0037013D"/>
    <w:rsid w:val="00373BFA"/>
    <w:rsid w:val="00385C17"/>
    <w:rsid w:val="003860DF"/>
    <w:rsid w:val="00390626"/>
    <w:rsid w:val="00394A7D"/>
    <w:rsid w:val="00395859"/>
    <w:rsid w:val="003A3175"/>
    <w:rsid w:val="003B58AE"/>
    <w:rsid w:val="003C66DE"/>
    <w:rsid w:val="003C7EA0"/>
    <w:rsid w:val="003D1240"/>
    <w:rsid w:val="003D7B39"/>
    <w:rsid w:val="003E65D4"/>
    <w:rsid w:val="003F40E6"/>
    <w:rsid w:val="003F4197"/>
    <w:rsid w:val="00403F3D"/>
    <w:rsid w:val="004051D8"/>
    <w:rsid w:val="00405E09"/>
    <w:rsid w:val="00414697"/>
    <w:rsid w:val="0042021B"/>
    <w:rsid w:val="0044056B"/>
    <w:rsid w:val="004517C8"/>
    <w:rsid w:val="004536F1"/>
    <w:rsid w:val="00476BA2"/>
    <w:rsid w:val="00476C0C"/>
    <w:rsid w:val="00483255"/>
    <w:rsid w:val="00493DAF"/>
    <w:rsid w:val="004A4C9A"/>
    <w:rsid w:val="004A5A3A"/>
    <w:rsid w:val="004E2244"/>
    <w:rsid w:val="004E4CB9"/>
    <w:rsid w:val="004F0293"/>
    <w:rsid w:val="004F42E0"/>
    <w:rsid w:val="004F491F"/>
    <w:rsid w:val="005047E7"/>
    <w:rsid w:val="00512A55"/>
    <w:rsid w:val="00517BA7"/>
    <w:rsid w:val="00522873"/>
    <w:rsid w:val="005275FA"/>
    <w:rsid w:val="00536464"/>
    <w:rsid w:val="005471D9"/>
    <w:rsid w:val="005558F4"/>
    <w:rsid w:val="00580284"/>
    <w:rsid w:val="00583500"/>
    <w:rsid w:val="0059113D"/>
    <w:rsid w:val="00597F36"/>
    <w:rsid w:val="005A2DC8"/>
    <w:rsid w:val="005A4BDD"/>
    <w:rsid w:val="005A646E"/>
    <w:rsid w:val="005B3298"/>
    <w:rsid w:val="005D5751"/>
    <w:rsid w:val="005D7E1F"/>
    <w:rsid w:val="005E04B4"/>
    <w:rsid w:val="005F136E"/>
    <w:rsid w:val="005F288F"/>
    <w:rsid w:val="005F6FC7"/>
    <w:rsid w:val="00601739"/>
    <w:rsid w:val="006051F6"/>
    <w:rsid w:val="00616042"/>
    <w:rsid w:val="006160D7"/>
    <w:rsid w:val="00616AC1"/>
    <w:rsid w:val="0062021A"/>
    <w:rsid w:val="00620507"/>
    <w:rsid w:val="006520AF"/>
    <w:rsid w:val="00670E5E"/>
    <w:rsid w:val="0067439B"/>
    <w:rsid w:val="00676762"/>
    <w:rsid w:val="00680A51"/>
    <w:rsid w:val="00682608"/>
    <w:rsid w:val="00684FE4"/>
    <w:rsid w:val="006A121F"/>
    <w:rsid w:val="006B6000"/>
    <w:rsid w:val="006C00EF"/>
    <w:rsid w:val="006C61C4"/>
    <w:rsid w:val="006D0C33"/>
    <w:rsid w:val="006E3780"/>
    <w:rsid w:val="006E43F3"/>
    <w:rsid w:val="006E601B"/>
    <w:rsid w:val="00711E23"/>
    <w:rsid w:val="007268C7"/>
    <w:rsid w:val="007327E2"/>
    <w:rsid w:val="0075278D"/>
    <w:rsid w:val="00753BD9"/>
    <w:rsid w:val="00756480"/>
    <w:rsid w:val="00757752"/>
    <w:rsid w:val="007667C3"/>
    <w:rsid w:val="00784A84"/>
    <w:rsid w:val="00785CBF"/>
    <w:rsid w:val="007862D1"/>
    <w:rsid w:val="007972B1"/>
    <w:rsid w:val="007C2C23"/>
    <w:rsid w:val="007D20DB"/>
    <w:rsid w:val="007D7849"/>
    <w:rsid w:val="007E1058"/>
    <w:rsid w:val="007F6523"/>
    <w:rsid w:val="007F67C7"/>
    <w:rsid w:val="007F7623"/>
    <w:rsid w:val="008077B3"/>
    <w:rsid w:val="00812370"/>
    <w:rsid w:val="00814A43"/>
    <w:rsid w:val="0081553B"/>
    <w:rsid w:val="00834E78"/>
    <w:rsid w:val="00862F7E"/>
    <w:rsid w:val="008755D9"/>
    <w:rsid w:val="00875A0F"/>
    <w:rsid w:val="008763C0"/>
    <w:rsid w:val="00876E62"/>
    <w:rsid w:val="008867F2"/>
    <w:rsid w:val="0088742E"/>
    <w:rsid w:val="00895580"/>
    <w:rsid w:val="008A6AC8"/>
    <w:rsid w:val="008B1CF1"/>
    <w:rsid w:val="008C6A96"/>
    <w:rsid w:val="008D4145"/>
    <w:rsid w:val="008E1A7A"/>
    <w:rsid w:val="008F22DF"/>
    <w:rsid w:val="008F2F00"/>
    <w:rsid w:val="00900A6F"/>
    <w:rsid w:val="00901498"/>
    <w:rsid w:val="00912BB0"/>
    <w:rsid w:val="00931573"/>
    <w:rsid w:val="00935ED8"/>
    <w:rsid w:val="00952E56"/>
    <w:rsid w:val="00953843"/>
    <w:rsid w:val="009618EB"/>
    <w:rsid w:val="009644CF"/>
    <w:rsid w:val="009706A8"/>
    <w:rsid w:val="00970AFA"/>
    <w:rsid w:val="009A0FEB"/>
    <w:rsid w:val="009A1A9E"/>
    <w:rsid w:val="009A1CB1"/>
    <w:rsid w:val="009D08DC"/>
    <w:rsid w:val="009D10BE"/>
    <w:rsid w:val="009D7C14"/>
    <w:rsid w:val="00A21012"/>
    <w:rsid w:val="00A26118"/>
    <w:rsid w:val="00A30920"/>
    <w:rsid w:val="00A3321A"/>
    <w:rsid w:val="00A419B6"/>
    <w:rsid w:val="00A425C9"/>
    <w:rsid w:val="00A42DF9"/>
    <w:rsid w:val="00A44533"/>
    <w:rsid w:val="00A50D33"/>
    <w:rsid w:val="00A52BF2"/>
    <w:rsid w:val="00A8307F"/>
    <w:rsid w:val="00AA6EC7"/>
    <w:rsid w:val="00AC466E"/>
    <w:rsid w:val="00AD5989"/>
    <w:rsid w:val="00AE3C49"/>
    <w:rsid w:val="00AF2C99"/>
    <w:rsid w:val="00AF64BA"/>
    <w:rsid w:val="00AF6C6A"/>
    <w:rsid w:val="00B029F2"/>
    <w:rsid w:val="00B03C70"/>
    <w:rsid w:val="00B13783"/>
    <w:rsid w:val="00B16CC4"/>
    <w:rsid w:val="00B2714B"/>
    <w:rsid w:val="00B55162"/>
    <w:rsid w:val="00B7100B"/>
    <w:rsid w:val="00B754BD"/>
    <w:rsid w:val="00B80652"/>
    <w:rsid w:val="00B903AC"/>
    <w:rsid w:val="00B90BD0"/>
    <w:rsid w:val="00B97A41"/>
    <w:rsid w:val="00BA0054"/>
    <w:rsid w:val="00BA0660"/>
    <w:rsid w:val="00BA651A"/>
    <w:rsid w:val="00BA6F38"/>
    <w:rsid w:val="00BB1452"/>
    <w:rsid w:val="00BC11AC"/>
    <w:rsid w:val="00BF5E30"/>
    <w:rsid w:val="00BF6455"/>
    <w:rsid w:val="00C02572"/>
    <w:rsid w:val="00C055BA"/>
    <w:rsid w:val="00C14415"/>
    <w:rsid w:val="00C150DC"/>
    <w:rsid w:val="00C37CCA"/>
    <w:rsid w:val="00C4012D"/>
    <w:rsid w:val="00C455D3"/>
    <w:rsid w:val="00C4680A"/>
    <w:rsid w:val="00C64082"/>
    <w:rsid w:val="00C6702F"/>
    <w:rsid w:val="00C734A6"/>
    <w:rsid w:val="00C94421"/>
    <w:rsid w:val="00C97551"/>
    <w:rsid w:val="00CB20AE"/>
    <w:rsid w:val="00CC2EB0"/>
    <w:rsid w:val="00CC3B8D"/>
    <w:rsid w:val="00CE0672"/>
    <w:rsid w:val="00CF09EF"/>
    <w:rsid w:val="00CF59C9"/>
    <w:rsid w:val="00D14054"/>
    <w:rsid w:val="00D218B7"/>
    <w:rsid w:val="00D27432"/>
    <w:rsid w:val="00D337D6"/>
    <w:rsid w:val="00D412B5"/>
    <w:rsid w:val="00D42237"/>
    <w:rsid w:val="00D43EA9"/>
    <w:rsid w:val="00D47DA6"/>
    <w:rsid w:val="00D56B77"/>
    <w:rsid w:val="00D822D9"/>
    <w:rsid w:val="00D90AC2"/>
    <w:rsid w:val="00DD490F"/>
    <w:rsid w:val="00DD7603"/>
    <w:rsid w:val="00DE4AF9"/>
    <w:rsid w:val="00DF074D"/>
    <w:rsid w:val="00DF3A22"/>
    <w:rsid w:val="00DF6B51"/>
    <w:rsid w:val="00E048E2"/>
    <w:rsid w:val="00E06CE1"/>
    <w:rsid w:val="00E12C51"/>
    <w:rsid w:val="00E21885"/>
    <w:rsid w:val="00E33DE4"/>
    <w:rsid w:val="00E47B17"/>
    <w:rsid w:val="00E5118E"/>
    <w:rsid w:val="00E53266"/>
    <w:rsid w:val="00E61690"/>
    <w:rsid w:val="00E66F30"/>
    <w:rsid w:val="00E835D5"/>
    <w:rsid w:val="00E94110"/>
    <w:rsid w:val="00EC3E62"/>
    <w:rsid w:val="00EC484D"/>
    <w:rsid w:val="00EE0075"/>
    <w:rsid w:val="00EE377C"/>
    <w:rsid w:val="00F01E54"/>
    <w:rsid w:val="00F06D8D"/>
    <w:rsid w:val="00F105CB"/>
    <w:rsid w:val="00F107C6"/>
    <w:rsid w:val="00F16851"/>
    <w:rsid w:val="00F2225B"/>
    <w:rsid w:val="00F301DD"/>
    <w:rsid w:val="00F37523"/>
    <w:rsid w:val="00F40766"/>
    <w:rsid w:val="00F449F4"/>
    <w:rsid w:val="00F451FD"/>
    <w:rsid w:val="00F50C82"/>
    <w:rsid w:val="00F56047"/>
    <w:rsid w:val="00F829D7"/>
    <w:rsid w:val="00F83BBC"/>
    <w:rsid w:val="00FD02A2"/>
    <w:rsid w:val="00FE2027"/>
    <w:rsid w:val="00FE46D9"/>
    <w:rsid w:val="00FE5194"/>
    <w:rsid w:val="00FE6CDB"/>
    <w:rsid w:val="00FF2C2A"/>
    <w:rsid w:val="00FF5F1A"/>
    <w:rsid w:val="0D0C2B3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GB" w:eastAsia="en-US" w:bidi="ar-SA"/>
    </w:rPr>
  </w:style>
  <w:style w:type="paragraph" w:styleId="2">
    <w:name w:val="heading 1"/>
    <w:basedOn w:val="1"/>
    <w:next w:val="1"/>
    <w:qFormat/>
    <w:uiPriority w:val="0"/>
    <w:pPr>
      <w:keepNext/>
      <w:outlineLvl w:val="0"/>
    </w:pPr>
    <w:rPr>
      <w:b/>
      <w:bCs/>
      <w:sz w:val="32"/>
    </w:rPr>
  </w:style>
  <w:style w:type="paragraph" w:styleId="3">
    <w:name w:val="heading 2"/>
    <w:basedOn w:val="1"/>
    <w:next w:val="1"/>
    <w:qFormat/>
    <w:uiPriority w:val="0"/>
    <w:pPr>
      <w:keepNext/>
      <w:outlineLvl w:val="1"/>
    </w:pPr>
    <w:rPr>
      <w:b/>
      <w:bCs/>
      <w:sz w:val="24"/>
    </w:rPr>
  </w:style>
  <w:style w:type="paragraph" w:styleId="4">
    <w:name w:val="heading 3"/>
    <w:basedOn w:val="1"/>
    <w:next w:val="1"/>
    <w:qFormat/>
    <w:uiPriority w:val="0"/>
    <w:pPr>
      <w:keepNext/>
      <w:jc w:val="center"/>
      <w:outlineLvl w:val="2"/>
    </w:pPr>
    <w:rPr>
      <w:b/>
      <w:bCs/>
      <w:sz w:val="36"/>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semiHidden/>
    <w:qFormat/>
    <w:uiPriority w:val="0"/>
    <w:rPr>
      <w:rFonts w:ascii="Tahoma" w:hAnsi="Tahoma" w:cs="Tahoma"/>
      <w:sz w:val="16"/>
      <w:szCs w:val="16"/>
    </w:rPr>
  </w:style>
  <w:style w:type="paragraph" w:styleId="8">
    <w:name w:val="Body Text"/>
    <w:basedOn w:val="1"/>
    <w:qFormat/>
    <w:uiPriority w:val="0"/>
    <w:rPr>
      <w:sz w:val="24"/>
    </w:rPr>
  </w:style>
  <w:style w:type="paragraph" w:styleId="9">
    <w:name w:val="Body Text Indent"/>
    <w:basedOn w:val="1"/>
    <w:qFormat/>
    <w:uiPriority w:val="0"/>
    <w:pPr>
      <w:ind w:left="720"/>
    </w:pPr>
    <w:rPr>
      <w:sz w:val="24"/>
    </w:rPr>
  </w:style>
  <w:style w:type="character" w:styleId="10">
    <w:name w:val="annotation reference"/>
    <w:qFormat/>
    <w:uiPriority w:val="0"/>
    <w:rPr>
      <w:sz w:val="16"/>
      <w:szCs w:val="16"/>
    </w:rPr>
  </w:style>
  <w:style w:type="paragraph" w:styleId="11">
    <w:name w:val="annotation text"/>
    <w:basedOn w:val="1"/>
    <w:link w:val="20"/>
    <w:qFormat/>
    <w:uiPriority w:val="0"/>
  </w:style>
  <w:style w:type="paragraph" w:styleId="12">
    <w:name w:val="annotation subject"/>
    <w:basedOn w:val="11"/>
    <w:next w:val="11"/>
    <w:link w:val="21"/>
    <w:qFormat/>
    <w:uiPriority w:val="0"/>
    <w:rPr>
      <w:b/>
      <w:bCs/>
    </w:rPr>
  </w:style>
  <w:style w:type="character" w:styleId="13">
    <w:name w:val="FollowedHyperlink"/>
    <w:qFormat/>
    <w:uiPriority w:val="0"/>
    <w:rPr>
      <w:color w:val="954F72"/>
      <w:u w:val="single"/>
    </w:rPr>
  </w:style>
  <w:style w:type="paragraph" w:styleId="14">
    <w:name w:val="footer"/>
    <w:basedOn w:val="1"/>
    <w:link w:val="19"/>
    <w:qFormat/>
    <w:uiPriority w:val="99"/>
    <w:pPr>
      <w:tabs>
        <w:tab w:val="center" w:pos="4320"/>
        <w:tab w:val="right" w:pos="8640"/>
      </w:tabs>
    </w:pPr>
  </w:style>
  <w:style w:type="paragraph" w:styleId="15">
    <w:name w:val="header"/>
    <w:basedOn w:val="1"/>
    <w:link w:val="23"/>
    <w:qFormat/>
    <w:uiPriority w:val="99"/>
    <w:pPr>
      <w:tabs>
        <w:tab w:val="center" w:pos="4320"/>
        <w:tab w:val="right" w:pos="8640"/>
      </w:tabs>
    </w:pPr>
  </w:style>
  <w:style w:type="character" w:styleId="16">
    <w:name w:val="Hyperlink"/>
    <w:qFormat/>
    <w:uiPriority w:val="0"/>
    <w:rPr>
      <w:color w:val="0563C1"/>
      <w:u w:val="single"/>
    </w:rPr>
  </w:style>
  <w:style w:type="character" w:styleId="17">
    <w:name w:val="page number"/>
    <w:basedOn w:val="5"/>
    <w:qFormat/>
    <w:uiPriority w:val="0"/>
  </w:style>
  <w:style w:type="paragraph" w:customStyle="1" w:styleId="18">
    <w:name w:val="Revision"/>
    <w:hidden/>
    <w:semiHidden/>
    <w:qFormat/>
    <w:uiPriority w:val="99"/>
    <w:rPr>
      <w:rFonts w:ascii="Times New Roman" w:hAnsi="Times New Roman" w:eastAsia="Times New Roman" w:cs="Times New Roman"/>
      <w:lang w:val="en-GB" w:eastAsia="en-US" w:bidi="ar-SA"/>
    </w:rPr>
  </w:style>
  <w:style w:type="character" w:customStyle="1" w:styleId="19">
    <w:name w:val="Footer Char"/>
    <w:link w:val="14"/>
    <w:qFormat/>
    <w:uiPriority w:val="99"/>
    <w:rPr>
      <w:lang w:eastAsia="en-US"/>
    </w:rPr>
  </w:style>
  <w:style w:type="character" w:customStyle="1" w:styleId="20">
    <w:name w:val="Comment Text Char"/>
    <w:link w:val="11"/>
    <w:qFormat/>
    <w:uiPriority w:val="0"/>
    <w:rPr>
      <w:lang w:eastAsia="en-US"/>
    </w:rPr>
  </w:style>
  <w:style w:type="character" w:customStyle="1" w:styleId="21">
    <w:name w:val="Comment Subject Char"/>
    <w:link w:val="12"/>
    <w:qFormat/>
    <w:uiPriority w:val="0"/>
    <w:rPr>
      <w:b/>
      <w:bCs/>
      <w:lang w:eastAsia="en-US"/>
    </w:rPr>
  </w:style>
  <w:style w:type="character" w:customStyle="1" w:styleId="22">
    <w:name w:val="Unresolved Mention"/>
    <w:semiHidden/>
    <w:unhideWhenUsed/>
    <w:qFormat/>
    <w:uiPriority w:val="99"/>
    <w:rPr>
      <w:color w:val="605E5C"/>
      <w:shd w:val="clear" w:color="auto" w:fill="E1DFDD"/>
    </w:rPr>
  </w:style>
  <w:style w:type="character" w:customStyle="1" w:styleId="23">
    <w:name w:val="Header Char"/>
    <w:link w:val="15"/>
    <w:qFormat/>
    <w:uiPriority w:val="99"/>
    <w:rPr>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06D08-13F6-494B-BEAE-0DF22BA7DEC0}">
  <ds:schemaRefs/>
</ds:datastoreItem>
</file>

<file path=docProps/app.xml><?xml version="1.0" encoding="utf-8"?>
<Properties xmlns="http://schemas.openxmlformats.org/officeDocument/2006/extended-properties" xmlns:vt="http://schemas.openxmlformats.org/officeDocument/2006/docPropsVTypes">
  <Template>Normal</Template>
  <Company>Bettal Quality Consultancy</Company>
  <Pages>7</Pages>
  <Words>2239</Words>
  <Characters>11838</Characters>
  <Lines>105</Lines>
  <Paragraphs>29</Paragraphs>
  <TotalTime>230</TotalTime>
  <ScaleCrop>false</ScaleCrop>
  <LinksUpToDate>false</LinksUpToDate>
  <CharactersWithSpaces>14022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2022-11-02T09:48:00Z</dcterms:created>
  <dc:creator>Albert Cook</dc:creator>
  <cp:lastModifiedBy>Hr Fair place care</cp:lastModifiedBy>
  <cp:lastPrinted>2024-12-19T14:34:00Z</cp:lastPrinted>
  <dcterms:modified xsi:type="dcterms:W3CDTF">2026-10-14T12:28:53Z</dcterms:modified>
  <dc:title>Quality Assurance Manual</dc:title>
  <cp:revision>230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eyJoZGlkIjoiNjg3M2ViMDlkMGZjY2NkYjdkODEyYjE4NDVmYjM2MTQiLCJ1c2VySWQiOiIzODY2MTEwODg1NjU0In0=</vt:lpwstr>
  </property>
  <property fmtid="{D5CDD505-2E9C-101B-9397-08002B2CF9AE}" pid="3" name="KSOProductBuildVer">
    <vt:lpwstr>1033-12.1.0.28485</vt:lpwstr>
  </property>
  <property fmtid="{D5CDD505-2E9C-101B-9397-08002B2CF9AE}" pid="4" name="ICV">
    <vt:lpwstr>9BC678820E2648ABA2D6C287EBC9657A_13</vt:lpwstr>
  </property>
</Properties>
</file>